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spacing w:lineRule="auto" w:line="240"/>
        <w:jc w:val="left"/>
        <w:rPr>
          <w:rFonts w:ascii="Times New Roman" w:hAnsi="Times New Roman" w:eastAsia="Times New Roman" w:cs="Times New Roman"/>
          <w:b/>
          <w:sz w:val="24"/>
          <w:szCs w:val="24"/>
          <w:highlight w:val="white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1"/>
        <w:spacing w:lineRule="auto" w:line="240"/>
        <w:jc w:val="center"/>
        <w:rPr>
          <w:rFonts w:ascii="Times New Roman" w:hAnsi="Times New Roman" w:eastAsia="Times New Roman" w:cs="Times New Roman"/>
          <w:b/>
          <w:sz w:val="24"/>
          <w:szCs w:val="24"/>
          <w:highlight w:val="white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highlight w:val="white"/>
        </w:rPr>
        <w:t>ANEXO I</w:t>
      </w:r>
    </w:p>
    <w:p>
      <w:pPr>
        <w:pStyle w:val="normal1"/>
        <w:spacing w:lineRule="auto" w:line="240"/>
        <w:jc w:val="center"/>
        <w:rPr>
          <w:rFonts w:ascii="Liberation Serif" w:hAnsi="Liberation Serif" w:eastAsia="Liberation Serif" w:cs="Liberation Serif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highlight w:val="white"/>
        </w:rPr>
        <w:t>ANÁLISE PERIÓDICA DAS BIBLIOGRAFIAS DOS CURSOS SUPERIORES</w:t>
      </w:r>
    </w:p>
    <w:p>
      <w:pPr>
        <w:pStyle w:val="normal1"/>
        <w:spacing w:lineRule="auto" w:line="360"/>
        <w:jc w:val="center"/>
        <w:rPr>
          <w:rFonts w:ascii="Liberation Serif" w:hAnsi="Liberation Serif" w:eastAsia="Liberation Serif" w:cs="Liberation Serif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highlight w:val="white"/>
        </w:rPr>
        <w:t>(Utilizar uma ficha para a avaliação de cada disciplina)</w:t>
      </w:r>
    </w:p>
    <w:tbl>
      <w:tblPr>
        <w:tblStyle w:val="Table1"/>
        <w:tblW w:w="9062" w:type="dxa"/>
        <w:jc w:val="left"/>
        <w:tblInd w:w="-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3020"/>
        <w:gridCol w:w="3021"/>
        <w:gridCol w:w="3021"/>
      </w:tblGrid>
      <w:tr>
        <w:trPr/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Curso:</w:t>
            </w:r>
          </w:p>
        </w:tc>
      </w:tr>
      <w:tr>
        <w:trPr/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Unidade Curricular/Disciplina:</w:t>
            </w:r>
          </w:p>
        </w:tc>
      </w:tr>
      <w:tr>
        <w:trPr/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Docente</w:t>
            </w:r>
          </w:p>
        </w:tc>
        <w:tc>
          <w:tcPr>
            <w:tcW w:w="60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highlight w:val="white"/>
              </w:rPr>
            </w:r>
          </w:p>
        </w:tc>
      </w:tr>
      <w:tr>
        <w:trPr/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highlight w:val="white"/>
              </w:rPr>
              <w:t>Data de envio:</w:t>
            </w:r>
          </w:p>
        </w:tc>
        <w:tc>
          <w:tcPr>
            <w:tcW w:w="60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Retorno ao NDE: 15 dias após recebimento</w:t>
            </w:r>
          </w:p>
        </w:tc>
      </w:tr>
      <w:tr>
        <w:trPr/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BIBLIOGRAFIA BÁSICA</w:t>
            </w:r>
          </w:p>
        </w:tc>
      </w:tr>
      <w:tr>
        <w:trPr/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Título (Atual)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Análise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Alterar para:</w:t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1.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2.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3.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highlight w:val="white"/>
              </w:rPr>
              <w:t>BIBLIOGRAFIA COMPLEMENTAR</w:t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1.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2.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3.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4.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5.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Manter</w:t>
            </w:r>
          </w:p>
        </w:tc>
        <w:tc>
          <w:tcPr>
            <w:tcW w:w="3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Times New Roman" w:hAnsi="Times New Roman" w:eastAsia="Times New Roman" w:cs="Times New Roman"/>
                <w:highlight w:val="white"/>
              </w:rPr>
            </w:pPr>
            <w:r>
              <w:rPr>
                <w:rFonts w:eastAsia="Times New Roman" w:cs="Times New Roman" w:ascii="Times New Roman" w:hAnsi="Times New Roman"/>
                <w:highlight w:val="white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Substituir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  <w:tr>
        <w:trPr/>
        <w:tc>
          <w:tcPr>
            <w:tcW w:w="302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360"/>
              <w:jc w:val="both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(  )</w:t>
            </w: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0"/>
                <w:szCs w:val="20"/>
                <w:highlight w:val="white"/>
              </w:rPr>
              <w:t>Atualizar</w:t>
            </w:r>
          </w:p>
        </w:tc>
        <w:tc>
          <w:tcPr>
            <w:tcW w:w="302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>
                <w:rFonts w:ascii="Liberation Serif" w:hAnsi="Liberation Serif" w:eastAsia="Liberation Serif" w:cs="Liberation Serif"/>
                <w:sz w:val="20"/>
                <w:szCs w:val="20"/>
              </w:rPr>
            </w:pPr>
            <w:r>
              <w:rPr>
                <w:rFonts w:eastAsia="Liberation Serif" w:cs="Liberation Serif" w:ascii="Liberation Serif" w:hAnsi="Liberation Serif"/>
                <w:sz w:val="20"/>
                <w:szCs w:val="20"/>
              </w:rPr>
            </w:r>
          </w:p>
        </w:tc>
      </w:tr>
    </w:tbl>
    <w:p>
      <w:pPr>
        <w:pStyle w:val="normal1"/>
        <w:jc w:val="both"/>
        <w:rPr>
          <w:sz w:val="18"/>
          <w:szCs w:val="18"/>
        </w:rPr>
      </w:pPr>
      <w:r>
        <w:rPr>
          <w:sz w:val="18"/>
          <w:szCs w:val="18"/>
        </w:rPr>
        <w:t>Fonte: PPC do curso superior  de  Gestão Ambiental do IF Sudeste MG- campus Barbacena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20" w:top="1134" w:footer="720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Times New Roman">
    <w:charset w:val="00"/>
    <w:family w:val="auto"/>
    <w:pitch w:val="variable"/>
  </w:font>
  <w:font w:name="Liberation Serif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jc w:val="right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  <w:drawing>
        <wp:inline distT="0" distB="0" distL="0" distR="0">
          <wp:extent cx="2406650" cy="805180"/>
          <wp:effectExtent l="0" t="0" r="0" b="0"/>
          <wp:docPr id="1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06650" cy="8051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222222"/>
        <w:highlight w:val="white"/>
      </w:rPr>
      <w:t xml:space="preserve">                                                </w:t>
    </w:r>
    <w:r>
      <w:rPr/>
      <w:drawing>
        <wp:inline distT="0" distB="0" distL="0" distR="0">
          <wp:extent cx="1739265" cy="948055"/>
          <wp:effectExtent l="0" t="0" r="0" b="0"/>
          <wp:docPr id="2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739265" cy="948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rPr/>
    </w:pPr>
    <w:r>
      <w:rPr/>
      <w:drawing>
        <wp:inline distT="0" distB="0" distL="0" distR="0">
          <wp:extent cx="2406650" cy="805180"/>
          <wp:effectExtent l="0" t="0" r="0" b="0"/>
          <wp:docPr id="3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06650" cy="8051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222222"/>
        <w:highlight w:val="white"/>
      </w:rPr>
      <w:t xml:space="preserve">                                                </w:t>
    </w:r>
    <w:r>
      <w:rPr/>
      <w:drawing>
        <wp:inline distT="0" distB="0" distL="0" distR="0">
          <wp:extent cx="1739265" cy="948055"/>
          <wp:effectExtent l="0" t="0" r="0" b="0"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739265" cy="9480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00" w:after="120"/>
    </w:pPr>
    <w:rPr>
      <w:sz w:val="40"/>
      <w:szCs w:val="40"/>
    </w:rPr>
  </w:style>
  <w:style w:type="paragraph" w:styleId="Heading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120"/>
    </w:pPr>
    <w:rPr>
      <w:b w:val="false"/>
      <w:sz w:val="32"/>
      <w:szCs w:val="32"/>
    </w:rPr>
  </w:style>
  <w:style w:type="paragraph" w:styleId="Heading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320" w:after="80"/>
    </w:pPr>
    <w:rPr>
      <w:b w:val="false"/>
      <w:color w:val="434343"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color w:val="666666"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i/>
      <w:color w:val="666666"/>
      <w:sz w:val="22"/>
      <w:szCs w:val="22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0" w:after="60"/>
    </w:pPr>
    <w:rPr>
      <w:sz w:val="52"/>
      <w:szCs w:val="52"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0" w:after="320"/>
    </w:pPr>
    <w:rPr>
      <w:rFonts w:ascii="Arial" w:hAnsi="Arial" w:eastAsia="Arial" w:cs="Arial"/>
      <w:i w:val="false"/>
      <w:color w:val="666666"/>
      <w:sz w:val="30"/>
      <w:szCs w:val="30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"/>
    <w:pPr/>
    <w:rPr/>
  </w:style>
  <w:style w:type="paragraph" w:styleId="Footer">
    <w:name w:val="footer"/>
    <w:basedOn w:val="Cabealhoerodap"/>
    <w:pPr/>
    <w:rPr/>
  </w:style>
  <w:style w:type="table" w:default="1" w:styleId="TableNormal">
    <w:name w:val="Table Normal"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nAG7wbyIxGxxldonDT4/AwdsG6Q==">CgMxLjA4AHIhMWlZa2g1Z2RHT3RvNDZ2eDZxcEx1YlkyQ2hzU1hpZEgy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</Pages>
  <Words>136</Words>
  <Characters>602</Characters>
  <CharactersWithSpaces>765</CharactersWithSpaces>
  <Paragraphs>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