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A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2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5"/>
        <w:gridCol w:w="2490"/>
        <w:tblGridChange w:id="0">
          <w:tblGrid>
            <w:gridCol w:w="6495"/>
            <w:gridCol w:w="249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DATAS PREVISTAS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do edital de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24/04/2025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para solicitação de impugnação do edital de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25/04/2025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Resultado das solicitações de Impugnação do Edital de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70" w:lineRule="auto"/>
              <w:ind w:right="13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6"/>
                <w:szCs w:val="26"/>
                <w:highlight w:val="white"/>
                <w:rtl w:val="0"/>
              </w:rPr>
              <w:t xml:space="preserve">28/04/2025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para divulgação e realização da seleção dos bolsistas pelos orientadores (incluindo divulgação dos critérios de avaliação, período de inscrição e realização da seleção)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28/04/2025 a 06/05/2025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Divulgação do resultado provisório da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4"/>
                <w:szCs w:val="24"/>
                <w:highlight w:val="white"/>
                <w:rtl w:val="0"/>
              </w:rPr>
              <w:t xml:space="preserve">07/05/2025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Os orientadores deverão enviar o resultado dos bolsistas selecionados até às 12h para o e-mail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secretariadde.barbacena@ifsudestemg.edu.br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Recursos contra o resultado provisório da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08/05/2025 até 16h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Divulgação do resultado final da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09/05/2025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Início das atividades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 partir de 12/05/2025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8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cretariadde.barbacena@ifsudestemg.edu.br" TargetMode="Externa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