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rasd68njtmnq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60" w:line="276" w:lineRule="auto"/>
        <w:jc w:val="center"/>
        <w:rPr>
          <w:b w:val="1"/>
        </w:rPr>
      </w:pPr>
      <w:bookmarkStart w:colFirst="0" w:colLast="0" w:name="_35nkun2" w:id="1"/>
      <w:bookmarkEnd w:id="1"/>
      <w:r w:rsidDel="00000000" w:rsidR="00000000" w:rsidRPr="00000000">
        <w:rPr>
          <w:b w:val="1"/>
          <w:rtl w:val="0"/>
        </w:rPr>
        <w:t xml:space="preserve">Formulário de Identificação do Estudante e Conta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2655"/>
        <w:gridCol w:w="2415"/>
        <w:tblGridChange w:id="0">
          <w:tblGrid>
            <w:gridCol w:w="3690"/>
            <w:gridCol w:w="2655"/>
            <w:gridCol w:w="241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ind w:left="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DO ESTUDANTE E PAGAMENTO DA BOLSA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DDD: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Banco*: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da agência*: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 Corrente*: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ind w:left="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DO CURSO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ind w:left="60" w:right="-9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FIC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left="60" w:right="-9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right="-9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Graduação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* Para o pagamento de bolsa, a conta informada não pode ser conta poupança, conta conjunta, nem conta em nome de terceiros.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