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289" w:firstLine="0"/>
        <w:jc w:val="center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84" w:line="240" w:lineRule="auto"/>
        <w:ind w:left="358" w:right="861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Check list PROAC 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3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1" w:line="285" w:lineRule="auto"/>
        <w:ind w:left="530" w:right="103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Para se inscrever no PROAC, o servidor deverá enviar a documentação listada abaixo. A submissão será via </w:t>
      </w:r>
      <w:hyperlink r:id="rId6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formulário</w:t>
        </w:r>
      </w:hyperlink>
      <w:r w:rsidDel="00000000" w:rsidR="00000000" w:rsidRPr="00000000">
        <w:rPr>
          <w:sz w:val="20"/>
          <w:szCs w:val="20"/>
          <w:rtl w:val="0"/>
        </w:rPr>
        <w:t xml:space="preserve">. Os documentos deverão ser digitalizados e anexados , em arquivo único, no formato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portable document format (</w:t>
      </w:r>
      <w:r w:rsidDel="00000000" w:rsidR="00000000" w:rsidRPr="00000000">
        <w:rPr>
          <w:sz w:val="20"/>
          <w:szCs w:val="20"/>
          <w:rtl w:val="0"/>
        </w:rPr>
        <w:t xml:space="preserve">PDF), na respectiva ordem:</w:t>
      </w:r>
    </w:p>
    <w:p w:rsidR="00000000" w:rsidDel="00000000" w:rsidP="00000000" w:rsidRDefault="00000000" w:rsidRPr="00000000" w14:paraId="00000005">
      <w:pPr>
        <w:widowControl w:val="0"/>
        <w:spacing w:before="9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258"/>
        </w:tabs>
        <w:spacing w:line="240" w:lineRule="auto"/>
        <w:ind w:left="1129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I. Formulário de Inscrição – PROAC (Anexo I);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405720</wp:posOffset>
            </wp:positionH>
            <wp:positionV relativeFrom="paragraph">
              <wp:posOffset>2520</wp:posOffset>
            </wp:positionV>
            <wp:extent cx="128160" cy="12816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164"/>
        </w:tabs>
        <w:spacing w:before="100" w:line="288" w:lineRule="auto"/>
        <w:ind w:left="1131" w:right="1048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II. Requerimento, Declaração de Escolaridade e Termo de Compromisso e Responsabilidade (Anexo II) concordando com as normas estabelecidas neste Edital, bem como ciência da Portaria GABREITOR/IFSUDMG nº 959, de 26 de outubro de 2023;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405720</wp:posOffset>
            </wp:positionH>
            <wp:positionV relativeFrom="paragraph">
              <wp:posOffset>65880</wp:posOffset>
            </wp:positionV>
            <wp:extent cx="128160" cy="12816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234"/>
        </w:tabs>
        <w:spacing w:line="240" w:lineRule="auto"/>
        <w:ind w:left="112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III. Apresentação para o setor e forma de devolutiva dos conhecimentos adquiridos assinado pela chefia imediata (Anexo III);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405720</wp:posOffset>
            </wp:positionH>
            <wp:positionV relativeFrom="paragraph">
              <wp:posOffset>29160</wp:posOffset>
            </wp:positionV>
            <wp:extent cx="128160" cy="128160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2488"/>
        </w:tabs>
        <w:spacing w:before="34" w:line="240" w:lineRule="auto"/>
        <w:ind w:left="1134" w:right="858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IV. Declaração do servidor se comprometendo a não realizar acúmulo de bolsa de mesma modalidade (Anexo IV);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405720</wp:posOffset>
            </wp:positionH>
            <wp:positionV relativeFrom="paragraph">
              <wp:posOffset>24840</wp:posOffset>
            </wp:positionV>
            <wp:extent cx="128160" cy="128160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378"/>
        </w:tabs>
        <w:spacing w:before="100"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V. Comprovação de que a capacitação consta no PDP da sua unidade;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405720</wp:posOffset>
            </wp:positionH>
            <wp:positionV relativeFrom="paragraph">
              <wp:posOffset>65880</wp:posOffset>
            </wp:positionV>
            <wp:extent cx="128160" cy="1281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313"/>
        </w:tabs>
        <w:spacing w:before="100" w:line="295" w:lineRule="auto"/>
        <w:ind w:left="1134" w:right="1043" w:hanging="140.99999999999994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 VI .Declaração manual emitida pela CGP, atestando o tempo que o servidor é efetivo do quadro permanente da instituição;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405720</wp:posOffset>
            </wp:positionH>
            <wp:positionV relativeFrom="paragraph">
              <wp:posOffset>65880</wp:posOffset>
            </wp:positionV>
            <wp:extent cx="128160" cy="12816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632"/>
        </w:tabs>
        <w:spacing w:before="34"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VII. Documento comprobatório de matrícula, conforme inciso III do item 3.2.;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405720</wp:posOffset>
            </wp:positionH>
            <wp:positionV relativeFrom="paragraph">
              <wp:posOffset>24840</wp:posOffset>
            </wp:positionV>
            <wp:extent cx="128160" cy="128160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742"/>
        </w:tabs>
        <w:spacing w:before="100"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VIII. Comprovante de reconhecimento do curso de pós-graduação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stricto sensu</w:t>
      </w:r>
      <w:r w:rsidDel="00000000" w:rsidR="00000000" w:rsidRPr="00000000">
        <w:rPr>
          <w:sz w:val="20"/>
          <w:szCs w:val="20"/>
          <w:rtl w:val="0"/>
        </w:rPr>
        <w:t xml:space="preserve">, pela CAPES;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405720</wp:posOffset>
            </wp:positionH>
            <wp:positionV relativeFrom="paragraph">
              <wp:posOffset>66600</wp:posOffset>
            </wp:positionV>
            <wp:extent cx="128160" cy="12816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302"/>
        </w:tabs>
        <w:spacing w:before="101" w:line="288" w:lineRule="auto"/>
        <w:ind w:left="1134" w:right="1034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IX. Declaração de adimplência junto à Diretoria de Pesquisa, Inovação e Pós-Graduação contendo a informação, quando for o caso, de quitação em editais anteriores do PROAQ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PROAC;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405720</wp:posOffset>
            </wp:positionH>
            <wp:positionV relativeFrom="paragraph">
              <wp:posOffset>66600</wp:posOffset>
            </wp:positionV>
            <wp:extent cx="128160" cy="128160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widowControl w:val="0"/>
        <w:spacing w:before="45" w:line="290" w:lineRule="auto"/>
        <w:ind w:left="965" w:right="1048" w:hanging="391"/>
        <w:jc w:val="both"/>
        <w:rPr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/>
        <w:drawing>
          <wp:inline distB="0" distT="0" distL="114300" distR="114300">
            <wp:extent cx="133350" cy="13335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   X. Declaração de adimplência com os programas institucionais geridos pela Diretoria de Pesquisa,     Inovação e Pós-Graduação.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187"/>
        </w:tabs>
        <w:spacing w:before="40" w:line="295" w:lineRule="auto"/>
        <w:ind w:left="1131" w:right="1034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XI. Currículo Lattes atualizado nos últimos 12 meses com indicação de produção dos últimos 5 anos, conforme anexo V;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405720</wp:posOffset>
            </wp:positionH>
            <wp:positionV relativeFrom="paragraph">
              <wp:posOffset>28079</wp:posOffset>
            </wp:positionV>
            <wp:extent cx="128160" cy="12816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2"/>
        </w:tabs>
        <w:spacing w:before="34" w:line="295" w:lineRule="auto"/>
        <w:ind w:left="965" w:right="1039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 XII. Declaração emitida pelo órgão ou setor responsável com o tempo de comprovação de experiência      em atividades relacionadas com curso pretendido, quando for o caso.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405720</wp:posOffset>
            </wp:positionH>
            <wp:positionV relativeFrom="paragraph">
              <wp:posOffset>24840</wp:posOffset>
            </wp:positionV>
            <wp:extent cx="128160" cy="12816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widowControl w:val="0"/>
        <w:spacing w:before="28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80" w:lineRule="auto"/>
        <w:ind w:left="965" w:right="1044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§ 1º As informações das declarações previstas nos incisos IX e X poderão estar contidas em um único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" w:line="280" w:lineRule="auto"/>
        <w:ind w:left="965" w:right="1044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§ 2 º Os documentos deverão ser digitalizados e anexados, em arquivo único, no formato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PDF), na ordem exata em que aparecem acima.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42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80" w:lineRule="auto"/>
        <w:ind w:left="965" w:right="1041" w:firstLine="0"/>
        <w:jc w:val="both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4.4. </w:t>
      </w:r>
      <w:r w:rsidDel="00000000" w:rsidR="00000000" w:rsidRPr="00000000">
        <w:rPr>
          <w:sz w:val="20"/>
          <w:szCs w:val="20"/>
          <w:rtl w:val="0"/>
        </w:rPr>
        <w:t xml:space="preserve">A ausência de quaisquer dos documentos comprobatórios listados acima implicará a NÃO homologação da inscrição e a solicitação será INDEFERIDA.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142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85" w:lineRule="auto"/>
        <w:ind w:left="965" w:right="103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Observação</w:t>
      </w:r>
      <w:r w:rsidDel="00000000" w:rsidR="00000000" w:rsidRPr="00000000">
        <w:rPr>
          <w:sz w:val="20"/>
          <w:szCs w:val="20"/>
          <w:rtl w:val="0"/>
        </w:rPr>
        <w:t xml:space="preserve">: As informações das declarações previstas nos incisos IX e X poderão estar contidas em um único documento.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680" w:top="1320" w:left="566" w:right="141" w:header="339" w:footer="48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rm4iddLbMoKWQqzK7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