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4081" w14:textId="77777777" w:rsidR="00523E01" w:rsidRDefault="00523E01" w:rsidP="00523E01">
      <w:pPr>
        <w:suppressAutoHyphens w:val="0"/>
        <w:overflowPunct/>
        <w:jc w:val="center"/>
        <w:rPr>
          <w:rFonts w:ascii="Arial" w:hAnsi="Arial" w:cs="Arial"/>
          <w:b/>
          <w:bCs/>
          <w:color w:val="000009"/>
          <w:sz w:val="24"/>
          <w:szCs w:val="24"/>
          <w:lang w:bidi="ar-SA"/>
        </w:rPr>
      </w:pPr>
    </w:p>
    <w:p w14:paraId="4EB995AA" w14:textId="77777777" w:rsidR="00523E01" w:rsidRDefault="00523E01" w:rsidP="00523E01">
      <w:pPr>
        <w:suppressAutoHyphens w:val="0"/>
        <w:overflowPunct/>
        <w:jc w:val="center"/>
        <w:rPr>
          <w:rFonts w:ascii="Arial" w:hAnsi="Arial" w:cs="Arial"/>
          <w:b/>
          <w:bCs/>
          <w:color w:val="000009"/>
          <w:sz w:val="24"/>
          <w:szCs w:val="24"/>
          <w:lang w:bidi="ar-SA"/>
        </w:rPr>
      </w:pPr>
      <w:r>
        <w:rPr>
          <w:rFonts w:ascii="Arial" w:hAnsi="Arial" w:cs="Arial"/>
          <w:b/>
          <w:bCs/>
          <w:color w:val="000009"/>
          <w:sz w:val="24"/>
          <w:szCs w:val="24"/>
          <w:lang w:bidi="ar-SA"/>
        </w:rPr>
        <w:t>ANEXO I</w:t>
      </w:r>
    </w:p>
    <w:p w14:paraId="40AF7DE3" w14:textId="77777777" w:rsidR="00523E01" w:rsidRDefault="00523E01" w:rsidP="00523E01">
      <w:pPr>
        <w:suppressAutoHyphens w:val="0"/>
        <w:overflowPunct/>
        <w:jc w:val="center"/>
        <w:rPr>
          <w:rFonts w:ascii="Arial" w:hAnsi="Arial" w:cs="Arial"/>
          <w:sz w:val="24"/>
          <w:szCs w:val="24"/>
          <w:lang w:bidi="ar-SA"/>
        </w:rPr>
      </w:pPr>
    </w:p>
    <w:p w14:paraId="277D5338" w14:textId="77777777" w:rsidR="00523E01" w:rsidRDefault="00523E01" w:rsidP="00523E01">
      <w:pPr>
        <w:pStyle w:val="LO-normal1"/>
        <w:widowControl w:val="0"/>
        <w:spacing w:before="36" w:line="240" w:lineRule="auto"/>
        <w:ind w:right="4507"/>
        <w:jc w:val="right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CRONOGRAMA</w:t>
      </w:r>
    </w:p>
    <w:tbl>
      <w:tblPr>
        <w:tblW w:w="10105" w:type="dxa"/>
        <w:tblInd w:w="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13"/>
        <w:gridCol w:w="3192"/>
      </w:tblGrid>
      <w:tr w:rsidR="00523E01" w14:paraId="7504605C" w14:textId="77777777" w:rsidTr="00CD3AC5">
        <w:trPr>
          <w:trHeight w:val="427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E5873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3077"/>
              <w:rPr>
                <w:rFonts w:ascii="Arial" w:eastAsia="Arial" w:hAnsi="Arial" w:cs="Arial"/>
                <w:b/>
                <w:color w:val="000009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9"/>
                <w:sz w:val="19"/>
                <w:szCs w:val="19"/>
                <w:highlight w:val="white"/>
              </w:rPr>
              <w:t xml:space="preserve">ATIVIDADE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3E3BC" w14:textId="77777777" w:rsidR="00523E01" w:rsidRDefault="00523E01" w:rsidP="00CD3AC5">
            <w:pPr>
              <w:pStyle w:val="LO-normal1"/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9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9"/>
                <w:sz w:val="19"/>
                <w:szCs w:val="19"/>
                <w:highlight w:val="white"/>
              </w:rPr>
              <w:t>DATAS PREVISTAS</w:t>
            </w:r>
          </w:p>
        </w:tc>
      </w:tr>
      <w:tr w:rsidR="00523E01" w14:paraId="766D7729" w14:textId="77777777" w:rsidTr="00CD3AC5">
        <w:trPr>
          <w:trHeight w:val="429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1AB0C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28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Publicação do edital de Seleção de Projeto de Ensino – Ações Inclusivas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BCE7E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932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15/03/24</w:t>
            </w:r>
          </w:p>
        </w:tc>
      </w:tr>
      <w:tr w:rsidR="00523E01" w14:paraId="144303F7" w14:textId="77777777" w:rsidTr="00CD3AC5">
        <w:trPr>
          <w:trHeight w:val="439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1535B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28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Período para solicitação de impugnação do edital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7C6D0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932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18/03/24</w:t>
            </w:r>
          </w:p>
        </w:tc>
      </w:tr>
      <w:tr w:rsidR="00523E01" w14:paraId="546AB16C" w14:textId="77777777" w:rsidTr="00CD3AC5">
        <w:trPr>
          <w:trHeight w:val="415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BCB82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28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Resultado das solicitações de Impugnação do Edital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B1D94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932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19/03/24</w:t>
            </w:r>
          </w:p>
        </w:tc>
      </w:tr>
      <w:tr w:rsidR="00523E01" w14:paraId="43D3C954" w14:textId="77777777" w:rsidTr="00CD3AC5">
        <w:trPr>
          <w:trHeight w:val="434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5636A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3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Inscrições de Projetos de Ensino – Ações Inclusivas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3918D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454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20/03/24 a 10/04/24</w:t>
            </w:r>
          </w:p>
        </w:tc>
      </w:tr>
      <w:tr w:rsidR="00523E01" w14:paraId="02271DF2" w14:textId="77777777" w:rsidTr="00CD3AC5">
        <w:trPr>
          <w:trHeight w:val="537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F8611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28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Divulgação do resultado provisório da seleção dos projetos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6F8E4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912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15/04/24</w:t>
            </w:r>
          </w:p>
        </w:tc>
      </w:tr>
      <w:tr w:rsidR="00523E01" w14:paraId="4C58CD64" w14:textId="77777777" w:rsidTr="00CD3AC5">
        <w:trPr>
          <w:trHeight w:val="376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47B98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28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Recursos contra o resultado provisório da seleção dos projetos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65647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441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16/04/24 a 17/04/24</w:t>
            </w:r>
          </w:p>
        </w:tc>
      </w:tr>
      <w:tr w:rsidR="00523E01" w14:paraId="72ABB5D1" w14:textId="77777777" w:rsidTr="00CD3AC5">
        <w:trPr>
          <w:trHeight w:val="381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C48E1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28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Divulgação e Homologação do</w:t>
            </w:r>
            <w:r>
              <w:rPr>
                <w:rFonts w:ascii="Arial" w:hAnsi="Arial"/>
                <w:color w:val="00000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resultado final de seleção dos projetos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48129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945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18/04/24</w:t>
            </w:r>
          </w:p>
        </w:tc>
      </w:tr>
      <w:tr w:rsidR="00523E01" w14:paraId="081B714E" w14:textId="77777777" w:rsidTr="00CD3AC5">
        <w:trPr>
          <w:trHeight w:val="835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B0E68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20" w:right="53" w:firstLine="7"/>
              <w:jc w:val="both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000009"/>
                <w:sz w:val="24"/>
                <w:szCs w:val="24"/>
                <w:highlight w:val="white"/>
              </w:rPr>
              <w:t xml:space="preserve"> </w:t>
            </w:r>
          </w:p>
          <w:p w14:paraId="661492CE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20" w:right="53" w:firstLine="7"/>
              <w:jc w:val="both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</w:p>
          <w:p w14:paraId="3E50DFAC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20" w:right="53" w:firstLine="7"/>
              <w:jc w:val="both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</w:p>
          <w:p w14:paraId="3FA1A679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20" w:right="53" w:firstLine="7"/>
              <w:jc w:val="both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</w:p>
          <w:p w14:paraId="377C3365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20" w:right="53" w:firstLine="7"/>
              <w:jc w:val="both"/>
              <w:rPr>
                <w:rFonts w:ascii="Arial" w:hAnsi="Arial"/>
                <w:b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  <w:highlight w:val="white"/>
              </w:rPr>
              <w:t>Sob a responsabilidade do(a)</w:t>
            </w: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szCs w:val="24"/>
                <w:highlight w:val="white"/>
              </w:rPr>
              <w:t>orientador(a):</w:t>
            </w:r>
          </w:p>
          <w:p w14:paraId="32CC6F73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20" w:right="53" w:firstLine="7"/>
              <w:jc w:val="both"/>
              <w:rPr>
                <w:rFonts w:ascii="Arial" w:hAnsi="Arial"/>
                <w:color w:val="000009"/>
                <w:sz w:val="24"/>
                <w:szCs w:val="24"/>
              </w:rPr>
            </w:pPr>
          </w:p>
          <w:p w14:paraId="67DC6CBC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080" w:right="53"/>
              <w:jc w:val="both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- Publicação do edital/chamada de seleção de bolsistas e voluntários(as);</w:t>
            </w:r>
          </w:p>
          <w:p w14:paraId="0E445FF6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080" w:right="53"/>
              <w:jc w:val="both"/>
              <w:rPr>
                <w:rFonts w:ascii="Arial" w:hAnsi="Arial"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color w:val="000009"/>
                <w:sz w:val="24"/>
                <w:szCs w:val="24"/>
                <w:highlight w:val="white"/>
              </w:rPr>
              <w:t>- I</w:t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nscrição d</w:t>
            </w:r>
            <w:r>
              <w:rPr>
                <w:rFonts w:ascii="Arial" w:hAnsi="Arial"/>
                <w:color w:val="000009"/>
                <w:sz w:val="24"/>
                <w:szCs w:val="24"/>
                <w:highlight w:val="white"/>
              </w:rPr>
              <w:t>os candidatos;</w:t>
            </w:r>
          </w:p>
          <w:p w14:paraId="702216EA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080" w:right="53"/>
              <w:jc w:val="both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000009"/>
                <w:sz w:val="24"/>
                <w:szCs w:val="24"/>
                <w:highlight w:val="white"/>
              </w:rPr>
              <w:t>- Seleção dos bolsistas;</w:t>
            </w:r>
          </w:p>
          <w:p w14:paraId="66D5F1D6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080" w:right="53"/>
              <w:jc w:val="both"/>
              <w:rPr>
                <w:rFonts w:ascii="Arial" w:hAnsi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000009"/>
                <w:sz w:val="24"/>
                <w:szCs w:val="24"/>
                <w:highlight w:val="white"/>
              </w:rPr>
              <w:t xml:space="preserve"> -Resultado da seleção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B8F0F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Todas estas etapas  </w:t>
            </w:r>
          </w:p>
          <w:p w14:paraId="289C1701" w14:textId="77777777" w:rsidR="00523E01" w:rsidRPr="000A7FF2" w:rsidRDefault="00523E01" w:rsidP="00CD3AC5">
            <w:pPr>
              <w:pStyle w:val="LO-normal1"/>
              <w:widowControl w:val="0"/>
              <w:spacing w:before="31" w:line="264" w:lineRule="auto"/>
              <w:ind w:left="219" w:right="278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deverão estar </w:t>
            </w:r>
            <w:proofErr w:type="gramStart"/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>previstas  nos</w:t>
            </w:r>
            <w:proofErr w:type="gramEnd"/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editais/chamadas de  seleção de  </w:t>
            </w:r>
          </w:p>
          <w:p w14:paraId="072B5211" w14:textId="77777777" w:rsidR="00523E01" w:rsidRPr="000A7FF2" w:rsidRDefault="00523E01" w:rsidP="00CD3AC5">
            <w:pPr>
              <w:pStyle w:val="LO-normal1"/>
              <w:widowControl w:val="0"/>
              <w:spacing w:before="9" w:line="264" w:lineRule="auto"/>
              <w:ind w:left="145" w:right="226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bolsistas/voluntários(as) </w:t>
            </w:r>
            <w:proofErr w:type="gramStart"/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>a  serem</w:t>
            </w:r>
            <w:proofErr w:type="gramEnd"/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realizadas pelo(a)  orientador(a) dos projetos.  </w:t>
            </w:r>
          </w:p>
          <w:p w14:paraId="23F7FB58" w14:textId="77777777" w:rsidR="00523E01" w:rsidRPr="000A7FF2" w:rsidRDefault="00523E01" w:rsidP="00CD3AC5">
            <w:pPr>
              <w:pStyle w:val="LO-normal1"/>
              <w:widowControl w:val="0"/>
              <w:spacing w:before="9" w:line="264" w:lineRule="auto"/>
              <w:ind w:left="145" w:right="226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  <w:p w14:paraId="7B72160A" w14:textId="77777777" w:rsidR="00523E01" w:rsidRPr="000A7FF2" w:rsidRDefault="00523E01" w:rsidP="00CD3AC5">
            <w:pPr>
              <w:pStyle w:val="LO-normal1"/>
              <w:widowControl w:val="0"/>
              <w:spacing w:before="9" w:line="264" w:lineRule="auto"/>
              <w:ind w:left="145" w:right="226"/>
              <w:jc w:val="center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Período para a </w:t>
            </w:r>
            <w:proofErr w:type="gramStart"/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>realização  das</w:t>
            </w:r>
            <w:proofErr w:type="gramEnd"/>
            <w:r w:rsidRPr="000A7FF2"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etapas: </w:t>
            </w:r>
            <w:r w:rsidRPr="000A7FF2">
              <w:rPr>
                <w:rFonts w:ascii="Arial" w:hAnsi="Arial"/>
                <w:b/>
                <w:color w:val="000009"/>
                <w:sz w:val="24"/>
                <w:szCs w:val="24"/>
              </w:rPr>
              <w:t xml:space="preserve">19 de  </w:t>
            </w:r>
          </w:p>
          <w:p w14:paraId="62C46AE0" w14:textId="77777777" w:rsidR="00523E01" w:rsidRPr="000A7FF2" w:rsidRDefault="00523E01" w:rsidP="00CD3AC5">
            <w:pPr>
              <w:pStyle w:val="LO-normal1"/>
              <w:widowControl w:val="0"/>
              <w:spacing w:before="10" w:line="264" w:lineRule="auto"/>
              <w:ind w:left="141" w:right="210"/>
              <w:jc w:val="center"/>
              <w:rPr>
                <w:rFonts w:ascii="Arial" w:hAnsi="Arial"/>
                <w:b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b/>
                <w:color w:val="000009"/>
                <w:sz w:val="24"/>
                <w:szCs w:val="24"/>
              </w:rPr>
              <w:t xml:space="preserve">abril a 29 de abril </w:t>
            </w:r>
            <w:proofErr w:type="gramStart"/>
            <w:r w:rsidRPr="000A7FF2">
              <w:rPr>
                <w:rFonts w:ascii="Arial" w:hAnsi="Arial"/>
                <w:b/>
                <w:color w:val="000009"/>
                <w:sz w:val="24"/>
                <w:szCs w:val="24"/>
              </w:rPr>
              <w:t>de  2024</w:t>
            </w:r>
            <w:proofErr w:type="gramEnd"/>
          </w:p>
          <w:p w14:paraId="24450D49" w14:textId="77777777" w:rsidR="00523E01" w:rsidRPr="000A7FF2" w:rsidRDefault="00523E01" w:rsidP="00CD3AC5">
            <w:pPr>
              <w:pStyle w:val="LO-normal1"/>
              <w:widowControl w:val="0"/>
              <w:spacing w:before="10" w:line="264" w:lineRule="auto"/>
              <w:ind w:left="141" w:right="210"/>
              <w:jc w:val="center"/>
              <w:rPr>
                <w:rFonts w:ascii="Arial" w:hAnsi="Arial"/>
                <w:b/>
                <w:strike/>
                <w:color w:val="000009"/>
                <w:sz w:val="24"/>
                <w:szCs w:val="24"/>
              </w:rPr>
            </w:pPr>
          </w:p>
        </w:tc>
      </w:tr>
      <w:tr w:rsidR="00523E01" w14:paraId="4CB9D0E1" w14:textId="77777777" w:rsidTr="00CD3AC5">
        <w:trPr>
          <w:trHeight w:val="566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67143" w14:textId="77777777" w:rsidR="00523E01" w:rsidRDefault="00523E01" w:rsidP="00CD3AC5">
            <w:pPr>
              <w:pStyle w:val="LO-normal1"/>
              <w:widowControl w:val="0"/>
              <w:spacing w:line="264" w:lineRule="auto"/>
              <w:ind w:left="118" w:right="49" w:firstLine="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Envio da documentação de seleção e dos documentos do(a) bolsista/voluntário</w:t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selecionado(a) para a Coordenação de Ações Inclusivas.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3EC76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633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Até 30/04/2024</w:t>
            </w:r>
          </w:p>
          <w:p w14:paraId="77532B87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633"/>
              <w:rPr>
                <w:rFonts w:ascii="Arial" w:hAnsi="Arial"/>
                <w:color w:val="000009"/>
                <w:sz w:val="24"/>
                <w:szCs w:val="24"/>
              </w:rPr>
            </w:pPr>
          </w:p>
        </w:tc>
      </w:tr>
      <w:tr w:rsidR="00523E01" w14:paraId="185540A6" w14:textId="77777777" w:rsidTr="00CD3AC5">
        <w:trPr>
          <w:trHeight w:val="563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F3044" w14:textId="77777777" w:rsidR="00523E01" w:rsidRDefault="00523E01" w:rsidP="00CD3AC5">
            <w:pPr>
              <w:pStyle w:val="LO-normal1"/>
              <w:widowControl w:val="0"/>
              <w:spacing w:line="240" w:lineRule="auto"/>
              <w:ind w:left="131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Início das atividades dos(as) bolsistas e voluntários(as)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B6318" w14:textId="77777777" w:rsidR="00523E01" w:rsidRPr="000A7FF2" w:rsidRDefault="00523E01" w:rsidP="00CD3AC5">
            <w:pPr>
              <w:pStyle w:val="LO-normal1"/>
              <w:widowControl w:val="0"/>
              <w:spacing w:line="240" w:lineRule="auto"/>
              <w:ind w:left="451"/>
              <w:rPr>
                <w:rFonts w:ascii="Arial" w:hAnsi="Arial"/>
                <w:color w:val="000009"/>
                <w:sz w:val="24"/>
                <w:szCs w:val="24"/>
              </w:rPr>
            </w:pPr>
            <w:r w:rsidRPr="000A7FF2">
              <w:rPr>
                <w:rFonts w:ascii="Arial" w:hAnsi="Arial"/>
                <w:color w:val="000009"/>
                <w:sz w:val="24"/>
                <w:szCs w:val="24"/>
              </w:rPr>
              <w:t>a partir de 02/05/24</w:t>
            </w:r>
          </w:p>
        </w:tc>
      </w:tr>
    </w:tbl>
    <w:p w14:paraId="6BCF3902" w14:textId="6C3E970F" w:rsidR="004D3999" w:rsidRPr="00523E01" w:rsidRDefault="004D3999" w:rsidP="00523E01">
      <w:pPr>
        <w:rPr>
          <w:rFonts w:eastAsia="Arial"/>
        </w:rPr>
      </w:pPr>
    </w:p>
    <w:sectPr w:rsidR="004D3999" w:rsidRPr="00523E01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1385" w14:textId="77777777" w:rsidR="00B36DEA" w:rsidRDefault="00B36DEA">
      <w:r>
        <w:separator/>
      </w:r>
    </w:p>
  </w:endnote>
  <w:endnote w:type="continuationSeparator" w:id="0">
    <w:p w14:paraId="3B8C20D2" w14:textId="77777777" w:rsidR="00B36DEA" w:rsidRDefault="00B3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E448" w14:textId="77777777" w:rsidR="00B36DEA" w:rsidRDefault="00B36DEA">
      <w:r>
        <w:separator/>
      </w:r>
    </w:p>
  </w:footnote>
  <w:footnote w:type="continuationSeparator" w:id="0">
    <w:p w14:paraId="6F7ADBCF" w14:textId="77777777" w:rsidR="00B36DEA" w:rsidRDefault="00B3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861CD"/>
    <w:rsid w:val="004D3999"/>
    <w:rsid w:val="00523E01"/>
    <w:rsid w:val="00533DBC"/>
    <w:rsid w:val="00617F26"/>
    <w:rsid w:val="00B36DEA"/>
    <w:rsid w:val="00BA1819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