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spacing w:after="320" w:before="0" w:line="240" w:lineRule="auto"/>
        <w:ind w:left="0"/>
        <w:jc w:val="center"/>
        <w:rPr>
          <w:b w:val="1"/>
          <w:bCs w:val="1"/>
        </w:rPr>
      </w:pPr>
      <w:bookmarkStart w:colFirst="0" w:colLast="0" w:name="_mc1uiiuo30dh" w:id="0"/>
      <w:bookmarkEnd w:id="0"/>
      <w:r w:rsidDel="00000000" w:rsidR="00000000" w:rsidRPr="00000000">
        <w:rPr>
          <w:color w:val="000000"/>
          <w:rtl w:val="0"/>
        </w:rPr>
        <w:t xml:space="preserve">CADERNO DE EVIDÊNCIAS – ETAPA DE DIAGNÓSTICO DO PDI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-324.3307086614169" w:firstLine="0"/>
        <w:rPr/>
      </w:pPr>
      <w:r w:rsidDel="00000000" w:rsidR="00000000" w:rsidRPr="00000000">
        <w:rPr>
          <w:rtl w:val="0"/>
        </w:rPr>
        <w:t xml:space="preserve">O objetivo deste documento é registrar evidências relevantes que ajudem a compreender a situação atual do tema e subsidiem a consolidação da Matriz SWOT institucional, através dos principais fatores internos relacionados ao tema.</w:t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-324.3307086614169" w:firstLine="0"/>
        <w:rPr/>
      </w:pPr>
      <w:r w:rsidDel="00000000" w:rsidR="00000000" w:rsidRPr="00000000">
        <w:rPr>
          <w:rtl w:val="0"/>
        </w:rPr>
        <w:t xml:space="preserve">Orienta-se que a comissão registre apenas evidências relevantes para decisões estratégicas, evitando listagens extensas.</w:t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-324.3307086614169" w:firstLine="0"/>
        <w:rPr/>
      </w:pPr>
      <w:r w:rsidDel="00000000" w:rsidR="00000000" w:rsidRPr="00000000">
        <w:rPr>
          <w:rtl w:val="0"/>
        </w:rPr>
        <w:t xml:space="preserve">Como este caderno será utilizado?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Rule="auto"/>
        <w:ind w:left="720" w:right="-324.3307086614169" w:hanging="360"/>
      </w:pPr>
      <w:r w:rsidDel="00000000" w:rsidR="00000000" w:rsidRPr="00000000">
        <w:rPr>
          <w:rtl w:val="0"/>
        </w:rPr>
        <w:t xml:space="preserve">Este caderno integra a etapa de diagnóstico do PDI do IF Sudeste MG e tem caráter analítico e subsidiário à formulação estratégica;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right="-324.3307086614169" w:hanging="360"/>
        <w:rPr>
          <w:u w:val="none"/>
        </w:rPr>
      </w:pPr>
      <w:r w:rsidDel="00000000" w:rsidR="00000000" w:rsidRPr="00000000">
        <w:rPr>
          <w:rtl w:val="0"/>
        </w:rPr>
        <w:t xml:space="preserve">Servirá de base para a consolidação institucional da Matriz SWOT, conduzida pela Comissão Executiva;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right="-324.3307086614169" w:hanging="360"/>
        <w:rPr>
          <w:u w:val="none"/>
        </w:rPr>
      </w:pPr>
      <w:r w:rsidDel="00000000" w:rsidR="00000000" w:rsidRPr="00000000">
        <w:rPr>
          <w:rtl w:val="0"/>
        </w:rPr>
        <w:t xml:space="preserve">Garantirá rastreabilidade entre evidências, percepções da comunidade e decisões estratégicas;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right="-324.3307086614169" w:hanging="360"/>
        <w:rPr>
          <w:u w:val="none"/>
        </w:rPr>
      </w:pPr>
      <w:r w:rsidDel="00000000" w:rsidR="00000000" w:rsidRPr="00000000">
        <w:rPr>
          <w:rtl w:val="0"/>
        </w:rPr>
        <w:t xml:space="preserve">Não substitui nem antecipa a definição de estratégias ou objetivos, que ocorrerá em etapa posterior.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1"/>
        <w:ind w:right="-324.3307086614169"/>
        <w:rPr>
          <w:color w:val="000000"/>
        </w:rPr>
      </w:pPr>
      <w:bookmarkStart w:colFirst="0" w:colLast="0" w:name="_5e9rooao0lns" w:id="1"/>
      <w:bookmarkEnd w:id="1"/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1. Identificação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right="-324.3307086614169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Comissão Temática: </w:t>
      </w:r>
      <w:r w:rsidDel="00000000" w:rsidR="00000000" w:rsidRPr="00000000">
        <w:rPr>
          <w:rtl w:val="0"/>
        </w:rPr>
        <w:t xml:space="preserve">&lt;nome da comissão&gt;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right="-324.3307086614169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Responsáveis pelo preenchimento: </w:t>
      </w:r>
      <w:r w:rsidDel="00000000" w:rsidR="00000000" w:rsidRPr="00000000">
        <w:rPr>
          <w:rtl w:val="0"/>
        </w:rPr>
        <w:t xml:space="preserve">&lt;responsáveis&gt;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both"/>
        <w:rPr>
          <w:color w:val="000000"/>
        </w:rPr>
      </w:pPr>
      <w:bookmarkStart w:colFirst="0" w:colLast="0" w:name="_ay74u7pb3ca8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rPr>
          <w:color w:val="000000"/>
        </w:rPr>
      </w:pPr>
      <w:bookmarkStart w:colFirst="0" w:colLast="0" w:name="_haeimqx82ozl" w:id="3"/>
      <w:bookmarkEnd w:id="3"/>
      <w:r w:rsidDel="00000000" w:rsidR="00000000" w:rsidRPr="00000000">
        <w:rPr>
          <w:color w:val="000000"/>
          <w:rtl w:val="0"/>
        </w:rPr>
        <w:t xml:space="preserve">2. Itens Candidatos à Matriz SWOT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A tabela abaixo tem como objetivo uma interpretação estratégica das evidências que deverão ser sintetizadas em forças ou fraquezas candidatas a compor a matriz SWOT.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61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05"/>
        <w:gridCol w:w="4710"/>
        <w:gridCol w:w="2670"/>
        <w:gridCol w:w="2025"/>
        <w:tblGridChange w:id="0">
          <w:tblGrid>
            <w:gridCol w:w="2205"/>
            <w:gridCol w:w="4710"/>
            <w:gridCol w:w="2670"/>
            <w:gridCol w:w="202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 Força ou Fraqueza </w:t>
            </w:r>
          </w:p>
          <w:p w:rsidR="00000000" w:rsidDel="00000000" w:rsidP="00000000" w:rsidRDefault="00000000" w:rsidRPr="00000000" w14:paraId="00000012">
            <w:pPr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(título do cluster)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Evidências Associadas</w:t>
            </w:r>
          </w:p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(preencher após levantamento de evidências do item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acervo-forças-001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Alta evasão nos cursos técnicos integrados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E1, E2 e E3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Consulta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acervo-forças-001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Limitação de espaços físicos para expansão da oferta acadêmica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E4 e E5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Consulta + Dados Institucionais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infra-fraquezas-018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keepNext w:val="0"/>
        <w:spacing w:after="80" w:before="280" w:line="240" w:lineRule="auto"/>
        <w:ind w:left="0" w:firstLine="0"/>
        <w:rPr>
          <w:sz w:val="26"/>
          <w:szCs w:val="26"/>
        </w:rPr>
      </w:pPr>
      <w:bookmarkStart w:colFirst="0" w:colLast="0" w:name="_hxxlz152ay3e" w:id="4"/>
      <w:bookmarkEnd w:id="4"/>
      <w:r w:rsidDel="00000000" w:rsidR="00000000" w:rsidRPr="00000000">
        <w:rPr>
          <w:sz w:val="26"/>
          <w:szCs w:val="26"/>
          <w:rtl w:val="0"/>
        </w:rPr>
        <w:t xml:space="preserve">Orientações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Recomenda-se objetividade e clareza;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Fatores internos, observados na realidade institucional;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Cada item deve estar associado a pelo menos uma evidência registrada;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both"/>
        <w:rPr>
          <w:color w:val="000000"/>
        </w:rPr>
      </w:pPr>
      <w:bookmarkStart w:colFirst="0" w:colLast="0" w:name="_wdlheu9hy0qu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both"/>
        <w:rPr>
          <w:color w:val="000000"/>
        </w:rPr>
      </w:pPr>
      <w:bookmarkStart w:colFirst="0" w:colLast="0" w:name="_eez0p0lfgl9l" w:id="6"/>
      <w:bookmarkEnd w:id="6"/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Evidências do Tema</w:t>
      </w:r>
      <w:r w:rsidDel="00000000" w:rsidR="00000000" w:rsidRPr="00000000">
        <w:rPr>
          <w:rtl w:val="0"/>
        </w:rPr>
      </w:r>
    </w:p>
    <w:tbl>
      <w:tblPr>
        <w:tblStyle w:val="Table2"/>
        <w:tblW w:w="142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0"/>
        <w:gridCol w:w="1140"/>
        <w:gridCol w:w="6150"/>
        <w:gridCol w:w="3900"/>
        <w:gridCol w:w="2565"/>
        <w:tblGridChange w:id="0">
          <w:tblGrid>
            <w:gridCol w:w="510"/>
            <w:gridCol w:w="1140"/>
            <w:gridCol w:w="6150"/>
            <w:gridCol w:w="3900"/>
            <w:gridCol w:w="256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(Interna/ Externa)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Evidência </w:t>
            </w:r>
            <w:r w:rsidDel="00000000" w:rsidR="00000000" w:rsidRPr="00000000">
              <w:rPr>
                <w:rtl w:val="0"/>
              </w:rPr>
              <w:t xml:space="preserve">(fato + recorte +</w:t>
            </w:r>
          </w:p>
          <w:p w:rsidR="00000000" w:rsidDel="00000000" w:rsidP="00000000" w:rsidRDefault="00000000" w:rsidRPr="00000000" w14:paraId="0000002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número ou característica concreta, se possível)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Fonte / Referência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Origem da Evidência </w:t>
            </w:r>
            <w:r w:rsidDel="00000000" w:rsidR="00000000" w:rsidRPr="00000000">
              <w:rPr>
                <w:rtl w:val="0"/>
              </w:rPr>
              <w:t xml:space="preserve">(Workshop I / Visitas / Consulta / Dados / Outro)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A taxa de evasão nos cursos técnicos integrados atingiu 28% em 2024, acima da média institucional de 18%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Consolidação da consulta pública + PNP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Consulta pública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Índice de conclusão nos cursos superiores aumentou de 52% para 64% entre 2021 e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institucionais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Laboratórios de informática operam com taxa média de ocupação superior a 90% nos turnos diurnos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Relatório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institucionais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 Crescimento de 35% na demanda regional por profissionais na área de TI entre 2020 e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IBGE / estudos setoriais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Workshop I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  <w:t xml:space="preserve">:62% das contribuições da consulta pública no tema “Infraestrutura” mencionam insuficiência de salas de aula em horários de pico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Consolidação da consulta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Consulta pública</w:t>
            </w:r>
          </w:p>
        </w:tc>
      </w:tr>
    </w:tbl>
    <w:p w:rsidR="00000000" w:rsidDel="00000000" w:rsidP="00000000" w:rsidRDefault="00000000" w:rsidRPr="00000000" w14:paraId="0000004B">
      <w:pPr>
        <w:pStyle w:val="Heading3"/>
        <w:keepNext w:val="1"/>
        <w:spacing w:after="80" w:before="280" w:line="240" w:lineRule="auto"/>
        <w:ind w:left="0" w:right="-324.3307086614169" w:firstLine="0"/>
        <w:rPr>
          <w:sz w:val="26"/>
          <w:szCs w:val="26"/>
        </w:rPr>
      </w:pPr>
      <w:bookmarkStart w:colFirst="0" w:colLast="0" w:name="_yqaryr85cmjs" w:id="7"/>
      <w:bookmarkEnd w:id="7"/>
      <w:r w:rsidDel="00000000" w:rsidR="00000000" w:rsidRPr="00000000">
        <w:rPr>
          <w:sz w:val="26"/>
          <w:szCs w:val="26"/>
          <w:rtl w:val="0"/>
        </w:rPr>
        <w:t xml:space="preserve">Orientações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right="-324.3307086614169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Registrar objetivamente os fatos ou dados, não opiniões;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right="-324.3307086614169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indicador institucional, relatório, norma, plano governamental, base pública etc;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right="-324.3307086614169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Tendência: deve refletir o comportamento </w:t>
      </w:r>
      <w:r w:rsidDel="00000000" w:rsidR="00000000" w:rsidRPr="00000000">
        <w:rPr>
          <w:sz w:val="20"/>
          <w:szCs w:val="20"/>
          <w:rtl w:val="0"/>
        </w:rPr>
        <w:t xml:space="preserve">observado no período considerado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: melhora (↑), piora (↓) ou estabilidade (→);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Rule="auto"/>
        <w:ind w:left="720" w:right="-324.3307086614169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“Origem da Evidência” indica como a informação foi obtida.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0" w:firstLine="0"/>
        <w:jc w:val="both"/>
        <w:rPr>
          <w:b w:val="0"/>
          <w:bCs w:val="0"/>
          <w:color w:val="000000"/>
        </w:rPr>
      </w:pPr>
      <w:bookmarkStart w:colFirst="0" w:colLast="0" w:name="_8x54nxxdmvjs" w:id="8"/>
      <w:bookmarkEnd w:id="8"/>
      <w:r w:rsidDel="00000000" w:rsidR="00000000" w:rsidRPr="00000000">
        <w:rPr>
          <w:color w:val="000000"/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Priorização dos Itens Candidatos</w:t>
      </w:r>
      <w:r w:rsidDel="00000000" w:rsidR="00000000" w:rsidRPr="00000000">
        <w:rPr>
          <w:b w:val="0"/>
          <w:bCs w:val="0"/>
          <w:color w:val="000000"/>
          <w:rtl w:val="0"/>
        </w:rPr>
        <w:t xml:space="preserve"> (</w:t>
      </w:r>
      <w:r w:rsidDel="00000000" w:rsidR="00000000" w:rsidRPr="00000000">
        <w:rPr>
          <w:b w:val="0"/>
          <w:bCs w:val="0"/>
          <w:color w:val="000000"/>
          <w:sz w:val="26"/>
          <w:szCs w:val="26"/>
          <w:rtl w:val="0"/>
        </w:rPr>
        <w:t xml:space="preserve">critérios sugeridos</w:t>
      </w:r>
      <w:r w:rsidDel="00000000" w:rsidR="00000000" w:rsidRPr="00000000">
        <w:rPr>
          <w:b w:val="0"/>
          <w:bCs w:val="0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Ind w:w="16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90"/>
        <w:gridCol w:w="1320"/>
        <w:gridCol w:w="1140"/>
        <w:gridCol w:w="1830"/>
        <w:gridCol w:w="2265"/>
        <w:gridCol w:w="1440"/>
        <w:tblGridChange w:id="0">
          <w:tblGrid>
            <w:gridCol w:w="2190"/>
            <w:gridCol w:w="1320"/>
            <w:gridCol w:w="1140"/>
            <w:gridCol w:w="1830"/>
            <w:gridCol w:w="2265"/>
            <w:gridCol w:w="144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Impacto Estratégico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Urgência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ind w:left="0" w:right="88.5826771653546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Governança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Aderência a Normativos / Planos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acervo-forças-001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acervo-forças-001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infra-fraquezas-018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Style w:val="Heading3"/>
        <w:keepNext w:val="0"/>
        <w:spacing w:after="240" w:before="280" w:line="240" w:lineRule="auto"/>
        <w:ind w:left="0" w:right="-324.3307086614169" w:firstLine="0"/>
        <w:rPr>
          <w:sz w:val="26"/>
          <w:szCs w:val="26"/>
        </w:rPr>
      </w:pPr>
      <w:bookmarkStart w:colFirst="0" w:colLast="0" w:name="_y8pubf31j4jp" w:id="9"/>
      <w:bookmarkEnd w:id="9"/>
      <w:r w:rsidDel="00000000" w:rsidR="00000000" w:rsidRPr="00000000">
        <w:rPr>
          <w:sz w:val="26"/>
          <w:szCs w:val="26"/>
          <w:rtl w:val="0"/>
        </w:rPr>
        <w:t xml:space="preserve">Orientações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240" w:lineRule="auto"/>
        <w:ind w:left="720" w:right="-324.330708661416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Critérios de priorização:</w:t>
      </w:r>
      <w:r w:rsidDel="00000000" w:rsidR="00000000" w:rsidRPr="00000000">
        <w:rPr>
          <w:rtl w:val="0"/>
        </w:rPr>
      </w:r>
    </w:p>
    <w:tbl>
      <w:tblPr>
        <w:tblStyle w:val="Table4"/>
        <w:tblW w:w="1395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9"/>
        <w:gridCol w:w="6979"/>
        <w:tblGridChange w:id="0">
          <w:tblGrid>
            <w:gridCol w:w="6979"/>
            <w:gridCol w:w="697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ind w:left="0" w:right="88.5826771653546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Impacto Estratégico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influência direta sobre os resultados institucionais das atividades finalísticas da instituição.</w:t>
            </w:r>
          </w:p>
          <w:p w:rsidR="00000000" w:rsidDel="00000000" w:rsidP="00000000" w:rsidRDefault="00000000" w:rsidRPr="00000000" w14:paraId="0000006C">
            <w:pPr>
              <w:spacing w:after="0" w:before="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5 - Influência crítica na concretização das atividades finalísticas;</w:t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4 - Alta influência na concretização das atividades finalísticas;</w:t>
            </w:r>
          </w:p>
          <w:p w:rsidR="00000000" w:rsidDel="00000000" w:rsidP="00000000" w:rsidRDefault="00000000" w:rsidRPr="00000000" w14:paraId="0000006E">
            <w:pPr>
              <w:spacing w:after="0" w:before="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Média influência na concretização das atividades finalísticas;</w:t>
            </w:r>
          </w:p>
          <w:p w:rsidR="00000000" w:rsidDel="00000000" w:rsidP="00000000" w:rsidRDefault="00000000" w:rsidRPr="00000000" w14:paraId="0000006F">
            <w:pPr>
              <w:spacing w:after="0" w:before="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 Baixa influência na concretização da atividade finalística;</w:t>
            </w:r>
          </w:p>
          <w:p w:rsidR="00000000" w:rsidDel="00000000" w:rsidP="00000000" w:rsidRDefault="00000000" w:rsidRPr="00000000" w14:paraId="00000070">
            <w:pPr>
              <w:spacing w:after="0" w:before="0" w:lineRule="auto"/>
              <w:ind w:left="283.46456692913375" w:right="-324.3307086614169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Item não influencia na concretização da atividade finalística.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5826771653546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Urgência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necessidade de atuação no horizonte de vigência do PDI, para aproveitar oportunidades, potencializar forças, mitigar ou eliminar ameaças e fraquezas.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Requer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atuação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imediata;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2 - É possível a atuação no médio prazo;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A gestão pode optar por atuar no longo prazo.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5826771653546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Governança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grau de capacidade do IF Sudeste MG de atuar sobre o fator.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  <w:tab/>
              <w:t xml:space="preserve">Alta capacidade de atuação direta;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  <w:tab/>
              <w:t xml:space="preserve">Atua parcialmente ou depende de parcerias;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  <w:tab/>
              <w:t xml:space="preserve">Baixa capacidade de atuação direta (depende de fatores externos).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.5826771653546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Aderência: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relação direta com políticas públicas, planos governamentais ou normativos legais.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Forte alinhamento com políticas públicas / leis;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2 - Alinhamento indireto;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-324.3307086614169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Sem relação relevante.</w:t>
            </w:r>
          </w:p>
        </w:tc>
      </w:tr>
    </w:tbl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240" w:lineRule="auto"/>
        <w:ind w:left="720" w:right="-324.330708661416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critérios de priorização têm caráter orientativo e visam apoiar a análise das contribuições, não substituindo o julgamento técnico da comissão temática, que poderá ajustar a ordenação de itens com pontuação semelhante conforme sua relevância, consistência e aderência ao contexto institucional;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before="0" w:beforeAutospacing="0" w:lineRule="auto"/>
        <w:ind w:left="720" w:right="-324.3307086614169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Itens que não possam ser claramente associados a uma evidência registrada no caderno não devem ser incluídos como candidatos à SWOT.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-324.3307086614169" w:firstLine="0"/>
        <w:jc w:val="both"/>
        <w:rPr>
          <w:color w:val="000000"/>
        </w:rPr>
      </w:pPr>
      <w:bookmarkStart w:colFirst="0" w:colLast="0" w:name="_sipn0jgs0iq" w:id="10"/>
      <w:bookmarkEnd w:id="10"/>
      <w:r w:rsidDel="00000000" w:rsidR="00000000" w:rsidRPr="00000000">
        <w:rPr>
          <w:color w:val="000000"/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Seleção Final – SWOT do Tema</w:t>
      </w:r>
    </w:p>
    <w:p w:rsidR="00000000" w:rsidDel="00000000" w:rsidP="00000000" w:rsidRDefault="00000000" w:rsidRPr="00000000" w14:paraId="00000080">
      <w:pPr>
        <w:spacing w:after="240" w:before="240" w:lineRule="auto"/>
        <w:ind w:left="0" w:right="-324.3307086614169" w:firstLine="0"/>
        <w:rPr/>
      </w:pPr>
      <w:r w:rsidDel="00000000" w:rsidR="00000000" w:rsidRPr="00000000">
        <w:rPr>
          <w:rtl w:val="0"/>
        </w:rPr>
        <w:t xml:space="preserve">Com base na pontuação obtida, selecionar até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 itens por quadrante, que representarão a SWOT final do tema.</w:t>
      </w:r>
    </w:p>
    <w:tbl>
      <w:tblPr>
        <w:tblStyle w:val="Table5"/>
        <w:tblW w:w="13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5"/>
        <w:gridCol w:w="11565"/>
        <w:tblGridChange w:id="0">
          <w:tblGrid>
            <w:gridCol w:w="2265"/>
            <w:gridCol w:w="115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Quadrante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 Selecionados (IDs)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Forças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4-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Fraquezas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4-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</w:p>
        </w:tc>
      </w:tr>
    </w:tbl>
    <w:p w:rsidR="00000000" w:rsidDel="00000000" w:rsidP="00000000" w:rsidRDefault="00000000" w:rsidRPr="00000000" w14:paraId="0000008F">
      <w:pPr>
        <w:pStyle w:val="Heading3"/>
        <w:keepNext w:val="0"/>
        <w:spacing w:after="80" w:before="280" w:line="240" w:lineRule="auto"/>
        <w:ind w:left="0" w:right="-324.3307086614169" w:firstLine="0"/>
        <w:rPr>
          <w:sz w:val="26"/>
          <w:szCs w:val="26"/>
        </w:rPr>
      </w:pPr>
      <w:bookmarkStart w:colFirst="0" w:colLast="0" w:name="_etl6qpkxzxbk" w:id="11"/>
      <w:bookmarkEnd w:id="11"/>
      <w:r w:rsidDel="00000000" w:rsidR="00000000" w:rsidRPr="00000000">
        <w:rPr>
          <w:sz w:val="26"/>
          <w:szCs w:val="26"/>
          <w:rtl w:val="0"/>
        </w:rPr>
        <w:t xml:space="preserve">Orientações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240" w:before="240" w:lineRule="auto"/>
        <w:ind w:left="720" w:right="-324.3307086614169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itens não selecionados permanecem registrados como insumos para análises futuras, riscos ou ações operacionais</w:t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-324.3307086614169" w:firstLine="0"/>
        <w:jc w:val="both"/>
        <w:rPr>
          <w:color w:val="000000"/>
        </w:rPr>
      </w:pPr>
      <w:bookmarkStart w:colFirst="0" w:colLast="0" w:name="_ay16dgw1abn8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40" w:lineRule="auto"/>
        <w:ind w:left="0" w:right="-324.3307086614169" w:firstLine="0"/>
        <w:jc w:val="both"/>
        <w:rPr>
          <w:color w:val="000000"/>
        </w:rPr>
      </w:pPr>
      <w:bookmarkStart w:colFirst="0" w:colLast="0" w:name="_3ysa44iacvhr" w:id="13"/>
      <w:bookmarkEnd w:id="13"/>
      <w:r w:rsidDel="00000000" w:rsidR="00000000" w:rsidRPr="00000000">
        <w:rPr>
          <w:color w:val="000000"/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 Observações da Comissão Temática (se for o caso)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240" w:before="240" w:lineRule="auto"/>
        <w:ind w:left="720" w:right="-324.3307086614169" w:hanging="360"/>
        <w:jc w:val="left"/>
        <w:rPr/>
      </w:pPr>
      <w:r w:rsidDel="00000000" w:rsidR="00000000" w:rsidRPr="00000000">
        <w:rPr>
          <w:rtl w:val="0"/>
        </w:rPr>
        <w:t xml:space="preserve">Algum item priorizado exige atenção especial da Comissão Executiva?</w:t>
      </w:r>
    </w:p>
    <w:p w:rsidR="00000000" w:rsidDel="00000000" w:rsidP="00000000" w:rsidRDefault="00000000" w:rsidRPr="00000000" w14:paraId="00000094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after="240" w:before="240" w:lineRule="auto"/>
        <w:ind w:left="720" w:right="-324.3307086614169" w:hanging="360"/>
        <w:jc w:val="left"/>
        <w:rPr/>
      </w:pPr>
      <w:r w:rsidDel="00000000" w:rsidR="00000000" w:rsidRPr="00000000">
        <w:rPr>
          <w:rtl w:val="0"/>
        </w:rPr>
        <w:t xml:space="preserve">Há limitações relevantes no diagnóstico (dados indisponíveis, assimetrias, etc.)?</w:t>
      </w:r>
    </w:p>
    <w:p w:rsidR="00000000" w:rsidDel="00000000" w:rsidP="00000000" w:rsidRDefault="00000000" w:rsidRPr="00000000" w14:paraId="0000009A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ind w:left="0" w:right="-324.3307086614169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60" w:before="60" w:lineRule="auto"/>
        <w:ind w:left="1275.5905511811022" w:hanging="283.4645669291337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360" w:before="200" w:line="276" w:lineRule="auto"/>
      <w:ind w:left="576" w:hanging="576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360" w:before="360" w:lineRule="auto"/>
      <w:ind w:left="0" w:firstLine="0"/>
    </w:pPr>
    <w:rPr>
      <w:b w:val="1"/>
      <w:bCs w:val="1"/>
      <w:color w:val="0000ff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line="276" w:lineRule="auto"/>
      <w:ind w:firstLine="708.6614173228347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  <w:ind w:left="864" w:hanging="864"/>
    </w:pPr>
    <w:rPr>
      <w:rFonts w:ascii="Times New Roman" w:cs="Times New Roman" w:eastAsia="Times New Roman" w:hAnsi="Times New Roman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  <w:ind w:left="1008" w:hanging="1008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  <w:ind w:left="1152" w:hanging="1152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pageBreakBefore w:val="0"/>
      <w:spacing w:line="276" w:lineRule="auto"/>
      <w:ind w:firstLine="425.19685039370086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