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b w:val="1"/>
          <w:rtl w:val="0"/>
        </w:rPr>
        <w:t xml:space="preserve">N.º 11/2020</w:t>
      </w: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rtl w:val="0"/>
        </w:rPr>
        <w:t xml:space="preserve">(PRESTAÇÃO DE SERVIÇOS)</w:t>
      </w:r>
      <w:r w:rsidDel="00000000" w:rsidR="00000000" w:rsidRPr="00000000">
        <w:rPr>
          <w:rtl w:val="0"/>
        </w:rPr>
      </w:r>
    </w:p>
    <w:p w:rsidR="00000000" w:rsidDel="00000000" w:rsidP="00000000" w:rsidRDefault="00000000" w:rsidRPr="00000000" w14:paraId="00000003">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sz w:val="22"/>
          <w:szCs w:val="22"/>
          <w:rtl w:val="0"/>
        </w:rPr>
        <w:t xml:space="preserve">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DOU dia 03/08/2020,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6">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w:t>
      </w:r>
      <w:r w:rsidDel="00000000" w:rsidR="00000000" w:rsidRPr="00000000">
        <w:rPr>
          <w:b w:val="1"/>
          <w:rtl w:val="0"/>
        </w:rPr>
        <w:t xml:space="preserve">Grupos 3, 5, 30 e 31 do Encarte A</w:t>
      </w:r>
      <w:r w:rsidDel="00000000" w:rsidR="00000000" w:rsidRPr="00000000">
        <w:rPr>
          <w:rtl w:val="0"/>
        </w:rPr>
        <w:t xml:space="preserve">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8">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9">
      <w:pPr>
        <w:widowControl w:val="0"/>
        <w:tabs>
          <w:tab w:val="left" w:pos="2850"/>
        </w:tabs>
        <w:ind w:left="792" w:firstLine="0"/>
        <w:jc w:val="both"/>
        <w:rPr>
          <w:sz w:val="22"/>
          <w:szCs w:val="22"/>
        </w:rPr>
      </w:pPr>
      <w:r w:rsidDel="00000000" w:rsidR="00000000" w:rsidRPr="00000000">
        <w:rPr>
          <w:sz w:val="22"/>
          <w:szCs w:val="22"/>
          <w:rtl w:val="0"/>
        </w:rPr>
        <w:tab/>
      </w:r>
    </w:p>
    <w:tbl>
      <w:tblPr>
        <w:tblStyle w:val="Table1"/>
        <w:tblW w:w="9405.0" w:type="dxa"/>
        <w:jc w:val="left"/>
        <w:tblInd w:w="-47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10"/>
        <w:gridCol w:w="600"/>
        <w:gridCol w:w="4890"/>
        <w:gridCol w:w="1125"/>
        <w:gridCol w:w="735"/>
        <w:gridCol w:w="1245"/>
        <w:tblGridChange w:id="0">
          <w:tblGrid>
            <w:gridCol w:w="810"/>
            <w:gridCol w:w="600"/>
            <w:gridCol w:w="4890"/>
            <w:gridCol w:w="1125"/>
            <w:gridCol w:w="735"/>
            <w:gridCol w:w="1245"/>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A">
            <w:pPr>
              <w:widowControl w:val="0"/>
              <w:spacing w:line="276" w:lineRule="auto"/>
              <w:jc w:val="center"/>
              <w:rPr>
                <w:b w:val="1"/>
                <w:sz w:val="18"/>
                <w:szCs w:val="18"/>
              </w:rPr>
            </w:pPr>
            <w:r w:rsidDel="00000000" w:rsidR="00000000" w:rsidRPr="00000000">
              <w:rPr>
                <w:b w:val="1"/>
                <w:sz w:val="18"/>
                <w:szCs w:val="18"/>
                <w:rtl w:val="0"/>
              </w:rPr>
              <w:t xml:space="preserve">VILA BRASIL TURISMO LTDA  - 11.823.997/0001-04 </w:t>
            </w:r>
          </w:p>
          <w:p w:rsidR="00000000" w:rsidDel="00000000" w:rsidP="00000000" w:rsidRDefault="00000000" w:rsidRPr="00000000" w14:paraId="0000000B">
            <w:pPr>
              <w:widowControl w:val="0"/>
              <w:spacing w:line="276" w:lineRule="auto"/>
              <w:jc w:val="center"/>
              <w:rPr>
                <w:sz w:val="18"/>
                <w:szCs w:val="18"/>
              </w:rPr>
            </w:pPr>
            <w:r w:rsidDel="00000000" w:rsidR="00000000" w:rsidRPr="00000000">
              <w:rPr>
                <w:sz w:val="18"/>
                <w:szCs w:val="18"/>
                <w:rtl w:val="0"/>
              </w:rPr>
              <w:t xml:space="preserve">SIT SANTA CATARINA, sem número, CEP 36.120-000, Bairro Santa Rosa, Matias Barbosa/MG</w:t>
            </w:r>
          </w:p>
          <w:p w:rsidR="00000000" w:rsidDel="00000000" w:rsidP="00000000" w:rsidRDefault="00000000" w:rsidRPr="00000000" w14:paraId="0000000C">
            <w:pPr>
              <w:widowControl w:val="0"/>
              <w:spacing w:line="276" w:lineRule="auto"/>
              <w:jc w:val="center"/>
              <w:rPr>
                <w:sz w:val="18"/>
                <w:szCs w:val="18"/>
              </w:rPr>
            </w:pPr>
            <w:r w:rsidDel="00000000" w:rsidR="00000000" w:rsidRPr="00000000">
              <w:rPr>
                <w:sz w:val="18"/>
                <w:szCs w:val="18"/>
                <w:rtl w:val="0"/>
              </w:rPr>
              <w:t xml:space="preserve">(32) 3216-2866/ (32) 9958-0604 contato@vilabrasilturismo.com.br</w:t>
            </w:r>
          </w:p>
          <w:p w:rsidR="00000000" w:rsidDel="00000000" w:rsidP="00000000" w:rsidRDefault="00000000" w:rsidRPr="00000000" w14:paraId="0000000D">
            <w:pPr>
              <w:widowControl w:val="0"/>
              <w:spacing w:line="276" w:lineRule="auto"/>
              <w:jc w:val="center"/>
              <w:rPr>
                <w:sz w:val="18"/>
                <w:szCs w:val="18"/>
              </w:rPr>
            </w:pPr>
            <w:r w:rsidDel="00000000" w:rsidR="00000000" w:rsidRPr="00000000">
              <w:rPr>
                <w:sz w:val="18"/>
                <w:szCs w:val="18"/>
                <w:rtl w:val="0"/>
              </w:rPr>
              <w:t xml:space="preserve">Representante Legal: Jussara dos Santos Oliveira CPF: 209.396.206-34</w:t>
            </w:r>
          </w:p>
        </w:tc>
      </w:tr>
      <w:t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widowControl w:val="0"/>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widowControl w:val="0"/>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p w:rsidR="00000000" w:rsidDel="00000000" w:rsidP="00000000" w:rsidRDefault="00000000" w:rsidRPr="00000000" w14:paraId="00000015">
            <w:pPr>
              <w:widowControl w:val="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6">
            <w:pPr>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7">
            <w:pPr>
              <w:widowControl w:val="0"/>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widowControl w:val="0"/>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9">
            <w:pPr>
              <w:widowControl w:val="0"/>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A">
            <w:pPr>
              <w:widowControl w:val="0"/>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widowControl w:val="0"/>
              <w:spacing w:after="120" w:line="276" w:lineRule="auto"/>
              <w:jc w:val="center"/>
              <w:rPr>
                <w:color w:val="000000"/>
                <w:sz w:val="18"/>
                <w:szCs w:val="18"/>
              </w:rPr>
            </w:pPr>
            <w:r w:rsidDel="00000000" w:rsidR="00000000" w:rsidRPr="00000000">
              <w:rPr>
                <w:sz w:val="18"/>
                <w:szCs w:val="18"/>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widowControl w:val="0"/>
              <w:spacing w:after="120" w:line="276" w:lineRule="auto"/>
              <w:jc w:val="center"/>
              <w:rPr>
                <w:color w:val="000000"/>
                <w:sz w:val="18"/>
                <w:szCs w:val="18"/>
              </w:rPr>
            </w:pPr>
            <w:r w:rsidDel="00000000" w:rsidR="00000000" w:rsidRPr="00000000">
              <w:rPr>
                <w:sz w:val="18"/>
                <w:szCs w:val="18"/>
                <w:rtl w:val="0"/>
              </w:rPr>
              <w:t xml:space="preserve">29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D">
            <w:pPr>
              <w:widowControl w:val="0"/>
              <w:spacing w:after="120" w:line="276" w:lineRule="auto"/>
              <w:rPr>
                <w:sz w:val="18"/>
                <w:szCs w:val="18"/>
              </w:rPr>
            </w:pPr>
            <w:r w:rsidDel="00000000" w:rsidR="00000000" w:rsidRPr="00000000">
              <w:rPr>
                <w:sz w:val="18"/>
                <w:szCs w:val="18"/>
                <w:rtl w:val="0"/>
              </w:rPr>
              <w:t xml:space="preserve">Placa de homenagem: placa de vidro, com dimensões 10x15cm, com base acompanhando a placa e mensagem (a ser escolhida pela contratante) impressa em material adesivo e colada à placa.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E">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F">
            <w:pPr>
              <w:widowControl w:val="0"/>
              <w:spacing w:after="120" w:line="276" w:lineRule="auto"/>
              <w:rPr>
                <w:sz w:val="18"/>
                <w:szCs w:val="18"/>
              </w:rPr>
            </w:pPr>
            <w:r w:rsidDel="00000000" w:rsidR="00000000" w:rsidRPr="00000000">
              <w:rPr>
                <w:sz w:val="18"/>
                <w:szCs w:val="18"/>
                <w:rtl w:val="0"/>
              </w:rPr>
              <w:t xml:space="preserve">110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widowControl w:val="0"/>
              <w:spacing w:after="120" w:line="276" w:lineRule="auto"/>
              <w:rPr>
                <w:color w:val="000000"/>
                <w:sz w:val="18"/>
                <w:szCs w:val="18"/>
              </w:rPr>
            </w:pPr>
            <w:r w:rsidDel="00000000" w:rsidR="00000000" w:rsidRPr="00000000">
              <w:rPr>
                <w:sz w:val="18"/>
                <w:szCs w:val="18"/>
                <w:rtl w:val="0"/>
              </w:rPr>
              <w:t xml:space="preserve">R$ 64,00 </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1">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2">
            <w:pPr>
              <w:widowControl w:val="0"/>
              <w:spacing w:after="120" w:line="276" w:lineRule="auto"/>
              <w:jc w:val="center"/>
              <w:rPr>
                <w:color w:val="000000"/>
                <w:sz w:val="18"/>
                <w:szCs w:val="18"/>
              </w:rPr>
            </w:pPr>
            <w:r w:rsidDel="00000000" w:rsidR="00000000" w:rsidRPr="00000000">
              <w:rPr>
                <w:sz w:val="18"/>
                <w:szCs w:val="18"/>
                <w:rtl w:val="0"/>
              </w:rPr>
              <w:t xml:space="preserve">30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3">
            <w:pPr>
              <w:widowControl w:val="0"/>
              <w:spacing w:after="120" w:line="276" w:lineRule="auto"/>
              <w:rPr>
                <w:sz w:val="18"/>
                <w:szCs w:val="18"/>
              </w:rPr>
            </w:pPr>
            <w:r w:rsidDel="00000000" w:rsidR="00000000" w:rsidRPr="00000000">
              <w:rPr>
                <w:sz w:val="18"/>
                <w:szCs w:val="18"/>
                <w:rtl w:val="0"/>
              </w:rPr>
              <w:t xml:space="preserve">Placa para homenagem: placa de vidro, com 20x30cm, com base acompanhando a placa e mensagem (a ser escolhida pela contratante) impressa em material adesivo e colada à placa.</w:t>
            </w:r>
          </w:p>
        </w:tc>
        <w:tc>
          <w:tcPr>
            <w:tcMar>
              <w:top w:w="100.0" w:type="dxa"/>
              <w:left w:w="100.0" w:type="dxa"/>
              <w:bottom w:w="100.0" w:type="dxa"/>
              <w:right w:w="100.0" w:type="dxa"/>
            </w:tcMar>
            <w:vAlign w:val="top"/>
          </w:tcPr>
          <w:p w:rsidR="00000000" w:rsidDel="00000000" w:rsidP="00000000" w:rsidRDefault="00000000" w:rsidRPr="00000000" w14:paraId="00000024">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5">
            <w:pPr>
              <w:widowControl w:val="0"/>
              <w:spacing w:after="120" w:line="276" w:lineRule="auto"/>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6">
            <w:pPr>
              <w:widowControl w:val="0"/>
              <w:spacing w:after="120" w:line="276" w:lineRule="auto"/>
              <w:rPr>
                <w:color w:val="000000"/>
                <w:sz w:val="18"/>
                <w:szCs w:val="18"/>
              </w:rPr>
            </w:pPr>
            <w:r w:rsidDel="00000000" w:rsidR="00000000" w:rsidRPr="00000000">
              <w:rPr>
                <w:sz w:val="18"/>
                <w:szCs w:val="18"/>
                <w:rtl w:val="0"/>
              </w:rPr>
              <w:t xml:space="preserve">R$ 75,00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7">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8">
            <w:pPr>
              <w:widowControl w:val="0"/>
              <w:spacing w:after="120" w:line="276" w:lineRule="auto"/>
              <w:jc w:val="center"/>
              <w:rPr>
                <w:color w:val="000000"/>
                <w:sz w:val="18"/>
                <w:szCs w:val="18"/>
              </w:rPr>
            </w:pPr>
            <w:r w:rsidDel="00000000" w:rsidR="00000000" w:rsidRPr="00000000">
              <w:rPr>
                <w:color w:val="000000"/>
                <w:sz w:val="18"/>
                <w:szCs w:val="18"/>
                <w:rtl w:val="0"/>
              </w:rPr>
              <w:t xml:space="preserve">31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9">
            <w:pPr>
              <w:widowControl w:val="0"/>
              <w:spacing w:after="120" w:line="276" w:lineRule="auto"/>
              <w:rPr>
                <w:sz w:val="18"/>
                <w:szCs w:val="18"/>
              </w:rPr>
            </w:pPr>
            <w:r w:rsidDel="00000000" w:rsidR="00000000" w:rsidRPr="00000000">
              <w:rPr>
                <w:sz w:val="18"/>
                <w:szCs w:val="18"/>
                <w:rtl w:val="0"/>
              </w:rPr>
              <w:t xml:space="preserve">Placa homenagens: placa de aço inox com gravação em baixo relevo, no tamanho 12x8cm, com estojo.</w:t>
            </w:r>
          </w:p>
        </w:tc>
        <w:tc>
          <w:tcPr>
            <w:tcMar>
              <w:top w:w="100.0" w:type="dxa"/>
              <w:left w:w="100.0" w:type="dxa"/>
              <w:bottom w:w="100.0" w:type="dxa"/>
              <w:right w:w="100.0" w:type="dxa"/>
            </w:tcMar>
            <w:vAlign w:val="top"/>
          </w:tcPr>
          <w:p w:rsidR="00000000" w:rsidDel="00000000" w:rsidP="00000000" w:rsidRDefault="00000000" w:rsidRPr="00000000" w14:paraId="0000002A">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B">
            <w:pPr>
              <w:widowControl w:val="0"/>
              <w:spacing w:after="120" w:line="276" w:lineRule="auto"/>
              <w:rPr>
                <w:sz w:val="18"/>
                <w:szCs w:val="18"/>
              </w:rPr>
            </w:pPr>
            <w:r w:rsidDel="00000000" w:rsidR="00000000" w:rsidRPr="00000000">
              <w:rPr>
                <w:sz w:val="18"/>
                <w:szCs w:val="18"/>
                <w:rtl w:val="0"/>
              </w:rPr>
              <w:t xml:space="preserve">206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C">
            <w:pPr>
              <w:widowControl w:val="0"/>
              <w:spacing w:after="120" w:line="276" w:lineRule="auto"/>
              <w:rPr>
                <w:color w:val="000000"/>
                <w:sz w:val="18"/>
                <w:szCs w:val="18"/>
              </w:rPr>
            </w:pPr>
            <w:r w:rsidDel="00000000" w:rsidR="00000000" w:rsidRPr="00000000">
              <w:rPr>
                <w:sz w:val="18"/>
                <w:szCs w:val="18"/>
                <w:rtl w:val="0"/>
              </w:rPr>
              <w:t xml:space="preserve">R$ 75,00</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3F">
            <w:pPr>
              <w:widowControl w:val="0"/>
              <w:spacing w:after="0" w:before="0" w:line="240" w:lineRule="auto"/>
              <w:ind w:left="0" w:firstLine="0"/>
              <w:jc w:val="center"/>
              <w:rPr/>
            </w:pPr>
            <w:r w:rsidDel="00000000" w:rsidR="00000000" w:rsidRPr="00000000">
              <w:rPr>
                <w:rtl w:val="0"/>
              </w:rPr>
              <w:t xml:space="preserve">5</w:t>
            </w:r>
          </w:p>
          <w:p w:rsidR="00000000" w:rsidDel="00000000" w:rsidP="00000000" w:rsidRDefault="00000000" w:rsidRPr="00000000" w14:paraId="0000004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4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5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7">
            <w:pPr>
              <w:widowControl w:val="0"/>
              <w:spacing w:after="0" w:before="0" w:line="240" w:lineRule="auto"/>
              <w:ind w:left="0" w:firstLine="0"/>
              <w:jc w:val="center"/>
              <w:rPr/>
            </w:pPr>
            <w:r w:rsidDel="00000000" w:rsidR="00000000" w:rsidRPr="00000000">
              <w:rPr>
                <w:rtl w:val="0"/>
              </w:rPr>
              <w:t xml:space="preserve">5</w:t>
            </w:r>
          </w:p>
          <w:p w:rsidR="00000000" w:rsidDel="00000000" w:rsidP="00000000" w:rsidRDefault="00000000" w:rsidRPr="00000000" w14:paraId="00000068">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9">
            <w:pPr>
              <w:widowControl w:val="0"/>
              <w:spacing w:after="120" w:line="276" w:lineRule="auto"/>
              <w:jc w:val="center"/>
              <w:rPr>
                <w:sz w:val="18"/>
                <w:szCs w:val="18"/>
              </w:rPr>
            </w:pPr>
            <w:r w:rsidDel="00000000" w:rsidR="00000000" w:rsidRPr="00000000">
              <w:rPr>
                <w:sz w:val="18"/>
                <w:szCs w:val="18"/>
                <w:rtl w:val="0"/>
              </w:rPr>
              <w:t xml:space="preserve">36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A">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 pessoas. Com sucos (dois tipos), café, leite quente e frio, chocolate quente, bolos, pão de queijo, torta, biscoitos salgados e doces (frescos, finos e variados);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B">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C">
            <w:pPr>
              <w:widowControl w:val="0"/>
              <w:spacing w:after="120" w:line="276" w:lineRule="auto"/>
              <w:rPr>
                <w:sz w:val="18"/>
                <w:szCs w:val="18"/>
              </w:rPr>
            </w:pPr>
            <w:r w:rsidDel="00000000" w:rsidR="00000000" w:rsidRPr="00000000">
              <w:rPr>
                <w:sz w:val="18"/>
                <w:szCs w:val="18"/>
                <w:rtl w:val="0"/>
              </w:rPr>
              <w:t xml:space="preserve">75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D">
            <w:pPr>
              <w:widowControl w:val="0"/>
              <w:spacing w:after="120" w:line="276" w:lineRule="auto"/>
              <w:rPr>
                <w:color w:val="000000"/>
                <w:sz w:val="18"/>
                <w:szCs w:val="18"/>
              </w:rPr>
            </w:pPr>
            <w:r w:rsidDel="00000000" w:rsidR="00000000" w:rsidRPr="00000000">
              <w:rPr>
                <w:sz w:val="18"/>
                <w:szCs w:val="18"/>
                <w:rtl w:val="0"/>
              </w:rPr>
              <w:t xml:space="preserve">165,00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E">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F">
            <w:pPr>
              <w:widowControl w:val="0"/>
              <w:spacing w:after="120" w:line="276"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0">
            <w:pPr>
              <w:widowControl w:val="0"/>
              <w:spacing w:after="120" w:line="276" w:lineRule="auto"/>
              <w:rPr>
                <w:sz w:val="18"/>
                <w:szCs w:val="18"/>
              </w:rPr>
            </w:pPr>
            <w:r w:rsidDel="00000000" w:rsidR="00000000" w:rsidRPr="00000000">
              <w:rPr>
                <w:sz w:val="18"/>
                <w:szCs w:val="18"/>
                <w:rtl w:val="0"/>
              </w:rPr>
              <w:t xml:space="preserve">Serviço de  Coffee break: serviço de coffee break para 25 pessoas. Com sucos (dois tipos), café, leite quente e frio, chocolate quente, bolos, pão de queijo, torta, biscoitos salgados e doces (frescos, finos e variados);</w:t>
            </w:r>
          </w:p>
        </w:tc>
        <w:tc>
          <w:tcPr>
            <w:tcMar>
              <w:top w:w="100.0" w:type="dxa"/>
              <w:left w:w="100.0" w:type="dxa"/>
              <w:bottom w:w="100.0" w:type="dxa"/>
              <w:right w:w="100.0" w:type="dxa"/>
            </w:tcMar>
            <w:vAlign w:val="top"/>
          </w:tcPr>
          <w:p w:rsidR="00000000" w:rsidDel="00000000" w:rsidP="00000000" w:rsidRDefault="00000000" w:rsidRPr="00000000" w14:paraId="00000071">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2">
            <w:pPr>
              <w:widowControl w:val="0"/>
              <w:spacing w:after="120" w:line="276" w:lineRule="auto"/>
              <w:rPr>
                <w:sz w:val="18"/>
                <w:szCs w:val="18"/>
              </w:rPr>
            </w:pPr>
            <w:r w:rsidDel="00000000" w:rsidR="00000000" w:rsidRPr="00000000">
              <w:rPr>
                <w:sz w:val="18"/>
                <w:szCs w:val="18"/>
                <w:rtl w:val="0"/>
              </w:rPr>
              <w:t xml:space="preserve">52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3">
            <w:pPr>
              <w:widowControl w:val="0"/>
              <w:spacing w:after="120" w:line="276" w:lineRule="auto"/>
              <w:rPr>
                <w:color w:val="000000"/>
                <w:sz w:val="18"/>
                <w:szCs w:val="18"/>
              </w:rPr>
            </w:pPr>
            <w:r w:rsidDel="00000000" w:rsidR="00000000" w:rsidRPr="00000000">
              <w:rPr>
                <w:sz w:val="18"/>
                <w:szCs w:val="18"/>
                <w:rtl w:val="0"/>
              </w:rPr>
              <w:t xml:space="preserve">410,00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4">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5">
            <w:pPr>
              <w:widowControl w:val="0"/>
              <w:spacing w:after="120" w:line="276" w:lineRule="auto"/>
              <w:jc w:val="center"/>
              <w:rPr>
                <w:sz w:val="18"/>
                <w:szCs w:val="18"/>
              </w:rPr>
            </w:pPr>
            <w:r w:rsidDel="00000000" w:rsidR="00000000" w:rsidRPr="00000000">
              <w:rPr>
                <w:sz w:val="18"/>
                <w:szCs w:val="18"/>
                <w:rtl w:val="0"/>
              </w:rPr>
              <w:t xml:space="preserve">38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6">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077">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8">
            <w:pPr>
              <w:widowControl w:val="0"/>
              <w:spacing w:after="120" w:line="276" w:lineRule="auto"/>
              <w:rPr>
                <w:sz w:val="18"/>
                <w:szCs w:val="18"/>
              </w:rPr>
            </w:pPr>
            <w:r w:rsidDel="00000000" w:rsidR="00000000" w:rsidRPr="00000000">
              <w:rPr>
                <w:sz w:val="18"/>
                <w:szCs w:val="18"/>
                <w:rtl w:val="0"/>
              </w:rPr>
              <w:t xml:space="preserve">34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9">
            <w:pPr>
              <w:widowControl w:val="0"/>
              <w:spacing w:after="120" w:line="276" w:lineRule="auto"/>
              <w:rPr>
                <w:color w:val="000000"/>
                <w:sz w:val="18"/>
                <w:szCs w:val="18"/>
              </w:rPr>
            </w:pPr>
            <w:r w:rsidDel="00000000" w:rsidR="00000000" w:rsidRPr="00000000">
              <w:rPr>
                <w:sz w:val="18"/>
                <w:szCs w:val="18"/>
                <w:rtl w:val="0"/>
              </w:rPr>
              <w:t xml:space="preserve">740,00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A">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B">
            <w:pPr>
              <w:widowControl w:val="0"/>
              <w:spacing w:after="120" w:line="276" w:lineRule="auto"/>
              <w:jc w:val="center"/>
              <w:rPr>
                <w:sz w:val="18"/>
                <w:szCs w:val="18"/>
              </w:rPr>
            </w:pPr>
            <w:r w:rsidDel="00000000" w:rsidR="00000000" w:rsidRPr="00000000">
              <w:rPr>
                <w:sz w:val="18"/>
                <w:szCs w:val="18"/>
                <w:rtl w:val="0"/>
              </w:rPr>
              <w:t xml:space="preserve">39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C">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07D">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E">
            <w:pPr>
              <w:widowControl w:val="0"/>
              <w:spacing w:after="120" w:line="276" w:lineRule="auto"/>
              <w:rPr>
                <w:sz w:val="18"/>
                <w:szCs w:val="18"/>
              </w:rPr>
            </w:pPr>
            <w:r w:rsidDel="00000000" w:rsidR="00000000" w:rsidRPr="00000000">
              <w:rPr>
                <w:sz w:val="18"/>
                <w:szCs w:val="18"/>
                <w:rtl w:val="0"/>
              </w:rPr>
              <w:t xml:space="preserve">40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F">
            <w:pPr>
              <w:widowControl w:val="0"/>
              <w:spacing w:after="120" w:line="276" w:lineRule="auto"/>
              <w:rPr>
                <w:color w:val="000000"/>
                <w:sz w:val="18"/>
                <w:szCs w:val="18"/>
              </w:rPr>
            </w:pPr>
            <w:r w:rsidDel="00000000" w:rsidR="00000000" w:rsidRPr="00000000">
              <w:rPr>
                <w:sz w:val="18"/>
                <w:szCs w:val="18"/>
                <w:rtl w:val="0"/>
              </w:rPr>
              <w:t xml:space="preserve">1.450,00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0">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1">
            <w:pPr>
              <w:widowControl w:val="0"/>
              <w:spacing w:after="120" w:line="276" w:lineRule="auto"/>
              <w:jc w:val="center"/>
              <w:rPr>
                <w:sz w:val="18"/>
                <w:szCs w:val="18"/>
              </w:rPr>
            </w:pPr>
            <w:r w:rsidDel="00000000" w:rsidR="00000000" w:rsidRPr="00000000">
              <w:rPr>
                <w:sz w:val="18"/>
                <w:szCs w:val="18"/>
                <w:rtl w:val="0"/>
              </w:rPr>
              <w:t xml:space="preserve">40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2">
            <w:pPr>
              <w:widowControl w:val="0"/>
              <w:spacing w:after="120" w:line="276" w:lineRule="auto"/>
              <w:rPr>
                <w:sz w:val="18"/>
                <w:szCs w:val="18"/>
              </w:rPr>
            </w:pPr>
            <w:r w:rsidDel="00000000" w:rsidR="00000000" w:rsidRPr="00000000">
              <w:rPr>
                <w:sz w:val="18"/>
                <w:szCs w:val="18"/>
                <w:rtl w:val="0"/>
              </w:rPr>
              <w:t xml:space="preserve">Serviço de  Coffee break: serviço de coffee break para 200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083">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4">
            <w:pPr>
              <w:widowControl w:val="0"/>
              <w:spacing w:after="120" w:line="276" w:lineRule="auto"/>
              <w:rPr>
                <w:sz w:val="18"/>
                <w:szCs w:val="18"/>
              </w:rPr>
            </w:pPr>
            <w:r w:rsidDel="00000000" w:rsidR="00000000" w:rsidRPr="00000000">
              <w:rPr>
                <w:sz w:val="18"/>
                <w:szCs w:val="18"/>
                <w:rtl w:val="0"/>
              </w:rPr>
              <w:t xml:space="preserve">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5">
            <w:pPr>
              <w:widowControl w:val="0"/>
              <w:spacing w:after="120" w:line="276" w:lineRule="auto"/>
              <w:rPr>
                <w:color w:val="000000"/>
                <w:sz w:val="18"/>
                <w:szCs w:val="18"/>
              </w:rPr>
            </w:pPr>
            <w:r w:rsidDel="00000000" w:rsidR="00000000" w:rsidRPr="00000000">
              <w:rPr>
                <w:sz w:val="18"/>
                <w:szCs w:val="18"/>
                <w:rtl w:val="0"/>
              </w:rPr>
              <w:t xml:space="preserve">2.950,00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7">
            <w:pPr>
              <w:widowControl w:val="0"/>
              <w:spacing w:after="120" w:line="276" w:lineRule="auto"/>
              <w:jc w:val="center"/>
              <w:rPr>
                <w:sz w:val="18"/>
                <w:szCs w:val="18"/>
              </w:rPr>
            </w:pPr>
            <w:r w:rsidDel="00000000" w:rsidR="00000000" w:rsidRPr="00000000">
              <w:rPr>
                <w:sz w:val="18"/>
                <w:szCs w:val="18"/>
                <w:rtl w:val="0"/>
              </w:rPr>
              <w:t xml:space="preserve">41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8">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089">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A">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B">
            <w:pPr>
              <w:widowControl w:val="0"/>
              <w:spacing w:after="120" w:line="276" w:lineRule="auto"/>
              <w:rPr>
                <w:color w:val="000000"/>
                <w:sz w:val="18"/>
                <w:szCs w:val="18"/>
              </w:rPr>
            </w:pPr>
            <w:r w:rsidDel="00000000" w:rsidR="00000000" w:rsidRPr="00000000">
              <w:rPr>
                <w:sz w:val="18"/>
                <w:szCs w:val="18"/>
                <w:rtl w:val="0"/>
              </w:rPr>
              <w:t xml:space="preserve">7.100,00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C">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D">
            <w:pPr>
              <w:widowControl w:val="0"/>
              <w:spacing w:after="120" w:line="276" w:lineRule="auto"/>
              <w:jc w:val="center"/>
              <w:rPr>
                <w:sz w:val="18"/>
                <w:szCs w:val="18"/>
              </w:rPr>
            </w:pPr>
            <w:r w:rsidDel="00000000" w:rsidR="00000000" w:rsidRPr="00000000">
              <w:rPr>
                <w:sz w:val="18"/>
                <w:szCs w:val="18"/>
                <w:rtl w:val="0"/>
              </w:rPr>
              <w:t xml:space="preserve">42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8E">
            <w:pPr>
              <w:widowControl w:val="0"/>
              <w:spacing w:after="120" w:line="276" w:lineRule="auto"/>
              <w:rPr>
                <w:sz w:val="18"/>
                <w:szCs w:val="18"/>
              </w:rPr>
            </w:pPr>
            <w:r w:rsidDel="00000000" w:rsidR="00000000" w:rsidRPr="00000000">
              <w:rPr>
                <w:sz w:val="18"/>
                <w:szCs w:val="18"/>
                <w:rtl w:val="0"/>
              </w:rPr>
              <w:t xml:space="preserve">Coquetel: serviço de fornecimento de coquetel para 50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08F">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0">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1">
            <w:pPr>
              <w:widowControl w:val="0"/>
              <w:spacing w:after="120" w:line="276" w:lineRule="auto"/>
              <w:rPr>
                <w:color w:val="000000"/>
                <w:sz w:val="18"/>
                <w:szCs w:val="18"/>
              </w:rPr>
            </w:pPr>
            <w:r w:rsidDel="00000000" w:rsidR="00000000" w:rsidRPr="00000000">
              <w:rPr>
                <w:sz w:val="18"/>
                <w:szCs w:val="18"/>
                <w:rtl w:val="0"/>
              </w:rPr>
              <w:t xml:space="preserve">2.200,00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2">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3">
            <w:pPr>
              <w:widowControl w:val="0"/>
              <w:spacing w:after="120" w:line="276" w:lineRule="auto"/>
              <w:jc w:val="center"/>
              <w:rPr>
                <w:sz w:val="18"/>
                <w:szCs w:val="18"/>
              </w:rPr>
            </w:pPr>
            <w:r w:rsidDel="00000000" w:rsidR="00000000" w:rsidRPr="00000000">
              <w:rPr>
                <w:sz w:val="18"/>
                <w:szCs w:val="18"/>
                <w:rtl w:val="0"/>
              </w:rPr>
              <w:t xml:space="preserve">43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4">
            <w:pPr>
              <w:widowControl w:val="0"/>
              <w:spacing w:after="120" w:line="276" w:lineRule="auto"/>
              <w:rPr>
                <w:sz w:val="18"/>
                <w:szCs w:val="18"/>
              </w:rPr>
            </w:pPr>
            <w:r w:rsidDel="00000000" w:rsidR="00000000" w:rsidRPr="00000000">
              <w:rPr>
                <w:sz w:val="18"/>
                <w:szCs w:val="18"/>
                <w:rtl w:val="0"/>
              </w:rPr>
              <w:t xml:space="preserve">Coquetel: serviço de fornecimento de coquetel para 100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095">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6">
            <w:pPr>
              <w:widowControl w:val="0"/>
              <w:spacing w:after="120" w:line="276" w:lineRule="auto"/>
              <w:rPr>
                <w:sz w:val="18"/>
                <w:szCs w:val="18"/>
              </w:rPr>
            </w:pPr>
            <w:r w:rsidDel="00000000" w:rsidR="00000000" w:rsidRPr="00000000">
              <w:rPr>
                <w:sz w:val="18"/>
                <w:szCs w:val="18"/>
                <w:rtl w:val="0"/>
              </w:rPr>
              <w:t xml:space="preserve">24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7">
            <w:pPr>
              <w:widowControl w:val="0"/>
              <w:spacing w:after="120" w:line="276" w:lineRule="auto"/>
              <w:rPr>
                <w:color w:val="000000"/>
                <w:sz w:val="18"/>
                <w:szCs w:val="18"/>
              </w:rPr>
            </w:pPr>
            <w:r w:rsidDel="00000000" w:rsidR="00000000" w:rsidRPr="00000000">
              <w:rPr>
                <w:sz w:val="18"/>
                <w:szCs w:val="18"/>
                <w:rtl w:val="0"/>
              </w:rPr>
              <w:t xml:space="preserve">4.300,00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8">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9">
            <w:pPr>
              <w:widowControl w:val="0"/>
              <w:spacing w:after="120" w:line="276" w:lineRule="auto"/>
              <w:jc w:val="center"/>
              <w:rPr>
                <w:sz w:val="18"/>
                <w:szCs w:val="18"/>
              </w:rPr>
            </w:pPr>
            <w:r w:rsidDel="00000000" w:rsidR="00000000" w:rsidRPr="00000000">
              <w:rPr>
                <w:sz w:val="18"/>
                <w:szCs w:val="18"/>
                <w:rtl w:val="0"/>
              </w:rPr>
              <w:t xml:space="preserve">44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A">
            <w:pPr>
              <w:widowControl w:val="0"/>
              <w:spacing w:after="120" w:line="276" w:lineRule="auto"/>
              <w:rPr>
                <w:sz w:val="18"/>
                <w:szCs w:val="18"/>
              </w:rPr>
            </w:pPr>
            <w:r w:rsidDel="00000000" w:rsidR="00000000" w:rsidRPr="00000000">
              <w:rPr>
                <w:sz w:val="18"/>
                <w:szCs w:val="18"/>
                <w:rtl w:val="0"/>
              </w:rPr>
              <w:t xml:space="preserve">Coquetel: serviço de fornecimento de coquetel para 200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09B">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C">
            <w:pPr>
              <w:widowControl w:val="0"/>
              <w:spacing w:after="120" w:line="276" w:lineRule="auto"/>
              <w:rPr>
                <w:sz w:val="18"/>
                <w:szCs w:val="18"/>
              </w:rPr>
            </w:pPr>
            <w:r w:rsidDel="00000000" w:rsidR="00000000" w:rsidRPr="00000000">
              <w:rPr>
                <w:sz w:val="18"/>
                <w:szCs w:val="18"/>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D">
            <w:pPr>
              <w:widowControl w:val="0"/>
              <w:spacing w:after="120" w:line="276" w:lineRule="auto"/>
              <w:rPr>
                <w:color w:val="000000"/>
                <w:sz w:val="18"/>
                <w:szCs w:val="18"/>
              </w:rPr>
            </w:pPr>
            <w:r w:rsidDel="00000000" w:rsidR="00000000" w:rsidRPr="00000000">
              <w:rPr>
                <w:sz w:val="18"/>
                <w:szCs w:val="18"/>
                <w:rtl w:val="0"/>
              </w:rPr>
              <w:t xml:space="preserve">7.500,00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E">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F">
            <w:pPr>
              <w:widowControl w:val="0"/>
              <w:spacing w:after="120" w:line="276" w:lineRule="auto"/>
              <w:jc w:val="center"/>
              <w:rPr>
                <w:sz w:val="18"/>
                <w:szCs w:val="18"/>
              </w:rPr>
            </w:pPr>
            <w:r w:rsidDel="00000000" w:rsidR="00000000" w:rsidRPr="00000000">
              <w:rPr>
                <w:sz w:val="18"/>
                <w:szCs w:val="18"/>
                <w:rtl w:val="0"/>
              </w:rPr>
              <w:t xml:space="preserve">45</w:t>
            </w:r>
          </w:p>
        </w:tc>
        <w:tc>
          <w:tcPr>
            <w:tcMar>
              <w:top w:w="100.0" w:type="dxa"/>
              <w:left w:w="100.0" w:type="dxa"/>
              <w:bottom w:w="100.0" w:type="dxa"/>
              <w:right w:w="100.0" w:type="dxa"/>
            </w:tcMar>
            <w:vAlign w:val="top"/>
          </w:tcPr>
          <w:p w:rsidR="00000000" w:rsidDel="00000000" w:rsidP="00000000" w:rsidRDefault="00000000" w:rsidRPr="00000000" w14:paraId="000000A0">
            <w:pPr>
              <w:widowControl w:val="0"/>
              <w:spacing w:after="120" w:line="276" w:lineRule="auto"/>
              <w:rPr>
                <w:sz w:val="18"/>
                <w:szCs w:val="18"/>
              </w:rPr>
            </w:pPr>
            <w:r w:rsidDel="00000000" w:rsidR="00000000" w:rsidRPr="00000000">
              <w:rPr>
                <w:sz w:val="18"/>
                <w:szCs w:val="18"/>
                <w:rtl w:val="0"/>
              </w:rPr>
              <w:t xml:space="preserve">Água: água mineral sem gás em copo descartável de 200ml.</w:t>
            </w:r>
          </w:p>
        </w:tc>
        <w:tc>
          <w:tcPr>
            <w:tcMar>
              <w:top w:w="100.0" w:type="dxa"/>
              <w:left w:w="100.0" w:type="dxa"/>
              <w:bottom w:w="100.0" w:type="dxa"/>
              <w:right w:w="100.0" w:type="dxa"/>
            </w:tcMar>
            <w:vAlign w:val="top"/>
          </w:tcPr>
          <w:p w:rsidR="00000000" w:rsidDel="00000000" w:rsidP="00000000" w:rsidRDefault="00000000" w:rsidRPr="00000000" w14:paraId="000000A1">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2">
            <w:pPr>
              <w:widowControl w:val="0"/>
              <w:spacing w:after="120" w:line="276" w:lineRule="auto"/>
              <w:rPr>
                <w:sz w:val="18"/>
                <w:szCs w:val="18"/>
              </w:rPr>
            </w:pPr>
            <w:r w:rsidDel="00000000" w:rsidR="00000000" w:rsidRPr="00000000">
              <w:rPr>
                <w:sz w:val="18"/>
                <w:szCs w:val="18"/>
                <w:rtl w:val="0"/>
              </w:rPr>
              <w:t xml:space="preserve">2000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3">
            <w:pPr>
              <w:widowControl w:val="0"/>
              <w:spacing w:after="120" w:line="276" w:lineRule="auto"/>
              <w:rPr>
                <w:color w:val="000000"/>
                <w:sz w:val="18"/>
                <w:szCs w:val="18"/>
              </w:rPr>
            </w:pPr>
            <w:r w:rsidDel="00000000" w:rsidR="00000000" w:rsidRPr="00000000">
              <w:rPr>
                <w:sz w:val="18"/>
                <w:szCs w:val="18"/>
                <w:rtl w:val="0"/>
              </w:rPr>
              <w:t xml:space="preserve">0,80</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4">
            <w:pPr>
              <w:widowControl w:val="0"/>
              <w:spacing w:after="0" w:before="0" w:line="240" w:lineRule="auto"/>
              <w:ind w:left="0" w:firstLine="0"/>
              <w:jc w:val="center"/>
              <w:rPr>
                <w:color w:val="000000"/>
              </w:rPr>
            </w:pPr>
            <w:r w:rsidDel="00000000" w:rsidR="00000000" w:rsidRPr="00000000">
              <w:rPr>
                <w:rtl w:val="0"/>
              </w:rPr>
              <w:t xml:space="preserve">30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5">
            <w:pPr>
              <w:widowControl w:val="0"/>
              <w:spacing w:after="120" w:line="276" w:lineRule="auto"/>
              <w:jc w:val="center"/>
              <w:rPr>
                <w:sz w:val="18"/>
                <w:szCs w:val="18"/>
              </w:rPr>
            </w:pPr>
            <w:r w:rsidDel="00000000" w:rsidR="00000000" w:rsidRPr="00000000">
              <w:rPr>
                <w:sz w:val="18"/>
                <w:szCs w:val="18"/>
                <w:rtl w:val="0"/>
              </w:rPr>
              <w:t xml:space="preserve">185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6">
            <w:pPr>
              <w:widowControl w:val="0"/>
              <w:spacing w:after="120" w:line="276" w:lineRule="auto"/>
              <w:rPr>
                <w:sz w:val="18"/>
                <w:szCs w:val="18"/>
              </w:rPr>
            </w:pPr>
            <w:r w:rsidDel="00000000" w:rsidR="00000000" w:rsidRPr="00000000">
              <w:rPr>
                <w:sz w:val="18"/>
                <w:szCs w:val="18"/>
                <w:rtl w:val="0"/>
              </w:rPr>
              <w:t xml:space="preserve">Placa de homenagem: placa de vidro, com dimensões 10x15cm, com base acompanhando a placa e mensagem (a ser escolhida pela contratante) impressa em material adesivo e colada à placa.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7">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8">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9">
            <w:pPr>
              <w:widowControl w:val="0"/>
              <w:spacing w:after="120" w:line="276" w:lineRule="auto"/>
              <w:rPr>
                <w:color w:val="000000"/>
                <w:sz w:val="18"/>
                <w:szCs w:val="18"/>
              </w:rPr>
            </w:pPr>
            <w:r w:rsidDel="00000000" w:rsidR="00000000" w:rsidRPr="00000000">
              <w:rPr>
                <w:sz w:val="18"/>
                <w:szCs w:val="18"/>
                <w:rtl w:val="0"/>
              </w:rPr>
              <w:t xml:space="preserve">63,00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A">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B">
            <w:pPr>
              <w:widowControl w:val="0"/>
              <w:spacing w:after="120" w:line="276" w:lineRule="auto"/>
              <w:jc w:val="center"/>
              <w:rPr>
                <w:sz w:val="18"/>
                <w:szCs w:val="18"/>
              </w:rPr>
            </w:pPr>
            <w:r w:rsidDel="00000000" w:rsidR="00000000" w:rsidRPr="00000000">
              <w:rPr>
                <w:sz w:val="18"/>
                <w:szCs w:val="18"/>
                <w:rtl w:val="0"/>
              </w:rPr>
              <w:t xml:space="preserve">186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C">
            <w:pPr>
              <w:widowControl w:val="0"/>
              <w:spacing w:after="120" w:line="276" w:lineRule="auto"/>
              <w:rPr>
                <w:sz w:val="18"/>
                <w:szCs w:val="18"/>
              </w:rPr>
            </w:pPr>
            <w:r w:rsidDel="00000000" w:rsidR="00000000" w:rsidRPr="00000000">
              <w:rPr>
                <w:sz w:val="18"/>
                <w:szCs w:val="18"/>
                <w:rtl w:val="0"/>
              </w:rPr>
              <w:t xml:space="preserve">Placa para homenagem: placa de vidro, com 20x30cm, com base acompanhando a placa e mensagem (a ser escolhida pela contratante) impressa em material adesivo e colada à placa.</w:t>
            </w:r>
          </w:p>
        </w:tc>
        <w:tc>
          <w:tcPr>
            <w:tcMar>
              <w:top w:w="100.0" w:type="dxa"/>
              <w:left w:w="100.0" w:type="dxa"/>
              <w:bottom w:w="100.0" w:type="dxa"/>
              <w:right w:w="100.0" w:type="dxa"/>
            </w:tcMar>
            <w:vAlign w:val="top"/>
          </w:tcPr>
          <w:p w:rsidR="00000000" w:rsidDel="00000000" w:rsidP="00000000" w:rsidRDefault="00000000" w:rsidRPr="00000000" w14:paraId="000000AD">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E">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F">
            <w:pPr>
              <w:widowControl w:val="0"/>
              <w:spacing w:after="120" w:line="276" w:lineRule="auto"/>
              <w:rPr>
                <w:color w:val="000000"/>
                <w:sz w:val="18"/>
                <w:szCs w:val="18"/>
              </w:rPr>
            </w:pPr>
            <w:r w:rsidDel="00000000" w:rsidR="00000000" w:rsidRPr="00000000">
              <w:rPr>
                <w:sz w:val="18"/>
                <w:szCs w:val="18"/>
                <w:rtl w:val="0"/>
              </w:rPr>
              <w:t xml:space="preserve">75,00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0">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1">
            <w:pPr>
              <w:widowControl w:val="0"/>
              <w:spacing w:after="120" w:line="276" w:lineRule="auto"/>
              <w:jc w:val="center"/>
              <w:rPr>
                <w:sz w:val="18"/>
                <w:szCs w:val="18"/>
              </w:rPr>
            </w:pPr>
            <w:r w:rsidDel="00000000" w:rsidR="00000000" w:rsidRPr="00000000">
              <w:rPr>
                <w:sz w:val="18"/>
                <w:szCs w:val="18"/>
                <w:rtl w:val="0"/>
              </w:rPr>
              <w:t xml:space="preserve">187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2">
            <w:pPr>
              <w:widowControl w:val="0"/>
              <w:spacing w:after="120" w:line="276" w:lineRule="auto"/>
              <w:rPr>
                <w:sz w:val="18"/>
                <w:szCs w:val="18"/>
              </w:rPr>
            </w:pPr>
            <w:r w:rsidDel="00000000" w:rsidR="00000000" w:rsidRPr="00000000">
              <w:rPr>
                <w:sz w:val="18"/>
                <w:szCs w:val="18"/>
                <w:rtl w:val="0"/>
              </w:rPr>
              <w:t xml:space="preserve">Placa homenagens: placa de aço inox com gravação em baixo relevo, no tamanho 12x8cm, com estojo.</w:t>
            </w:r>
          </w:p>
        </w:tc>
        <w:tc>
          <w:tcPr>
            <w:tcMar>
              <w:top w:w="100.0" w:type="dxa"/>
              <w:left w:w="100.0" w:type="dxa"/>
              <w:bottom w:w="100.0" w:type="dxa"/>
              <w:right w:w="100.0" w:type="dxa"/>
            </w:tcMar>
            <w:vAlign w:val="top"/>
          </w:tcPr>
          <w:p w:rsidR="00000000" w:rsidDel="00000000" w:rsidP="00000000" w:rsidRDefault="00000000" w:rsidRPr="00000000" w14:paraId="000000B3">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4">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5">
            <w:pPr>
              <w:widowControl w:val="0"/>
              <w:spacing w:after="120" w:line="276" w:lineRule="auto"/>
              <w:rPr>
                <w:color w:val="000000"/>
                <w:sz w:val="18"/>
                <w:szCs w:val="18"/>
              </w:rPr>
            </w:pPr>
            <w:r w:rsidDel="00000000" w:rsidR="00000000" w:rsidRPr="00000000">
              <w:rPr>
                <w:sz w:val="18"/>
                <w:szCs w:val="18"/>
                <w:rtl w:val="0"/>
              </w:rPr>
              <w:t xml:space="preserve">75,00</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B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4">
            <w:pPr>
              <w:widowControl w:val="0"/>
              <w:spacing w:after="0" w:before="0" w:line="240" w:lineRule="auto"/>
              <w:ind w:left="0" w:firstLine="0"/>
              <w:jc w:val="center"/>
              <w:rPr/>
            </w:pPr>
            <w:r w:rsidDel="00000000" w:rsidR="00000000" w:rsidRPr="00000000">
              <w:rPr>
                <w:rtl w:val="0"/>
              </w:rPr>
              <w:t xml:space="preserve">31</w:t>
            </w:r>
          </w:p>
          <w:p w:rsidR="00000000" w:rsidDel="00000000" w:rsidP="00000000" w:rsidRDefault="00000000" w:rsidRPr="00000000" w14:paraId="000000C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4">
            <w:pPr>
              <w:widowControl w:val="0"/>
              <w:spacing w:after="0" w:before="0" w:line="240" w:lineRule="auto"/>
              <w:ind w:left="0" w:firstLine="0"/>
              <w:jc w:val="center"/>
              <w:rPr/>
            </w:pPr>
            <w:r w:rsidDel="00000000" w:rsidR="00000000" w:rsidRPr="00000000">
              <w:rPr>
                <w:rtl w:val="0"/>
              </w:rPr>
              <w:t xml:space="preserve">31</w:t>
            </w:r>
          </w:p>
          <w:p w:rsidR="00000000" w:rsidDel="00000000" w:rsidP="00000000" w:rsidRDefault="00000000" w:rsidRPr="00000000" w14:paraId="000000E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F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106">
            <w:pPr>
              <w:widowControl w:val="0"/>
              <w:spacing w:after="0" w:before="0" w:line="240" w:lineRule="auto"/>
              <w:ind w:left="0" w:firstLine="0"/>
              <w:jc w:val="center"/>
              <w:rPr/>
            </w:pPr>
            <w:r w:rsidDel="00000000" w:rsidR="00000000" w:rsidRPr="00000000">
              <w:rPr>
                <w:rtl w:val="0"/>
              </w:rPr>
              <w:t xml:space="preserve">31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7">
            <w:pPr>
              <w:widowControl w:val="0"/>
              <w:spacing w:after="120" w:line="276" w:lineRule="auto"/>
              <w:jc w:val="center"/>
              <w:rPr>
                <w:sz w:val="18"/>
                <w:szCs w:val="18"/>
              </w:rPr>
            </w:pPr>
            <w:r w:rsidDel="00000000" w:rsidR="00000000" w:rsidRPr="00000000">
              <w:rPr>
                <w:sz w:val="18"/>
                <w:szCs w:val="18"/>
                <w:rtl w:val="0"/>
              </w:rPr>
              <w:t xml:space="preserve">189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8">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 pessoas. Com sucos (dois tipos), café, leite quente e frio, chocolate quente, bolos, pão de queijo, torta, biscoitos salgados e doces (frescos, finos e variados);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9">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A">
            <w:pPr>
              <w:widowControl w:val="0"/>
              <w:spacing w:after="120" w:line="276" w:lineRule="auto"/>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widowControl w:val="0"/>
              <w:spacing w:after="120" w:line="276" w:lineRule="auto"/>
              <w:rPr>
                <w:color w:val="000000"/>
                <w:sz w:val="18"/>
                <w:szCs w:val="18"/>
              </w:rPr>
            </w:pPr>
            <w:r w:rsidDel="00000000" w:rsidR="00000000" w:rsidRPr="00000000">
              <w:rPr>
                <w:sz w:val="18"/>
                <w:szCs w:val="18"/>
                <w:rtl w:val="0"/>
              </w:rPr>
              <w:t xml:space="preserve">200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D">
            <w:pPr>
              <w:widowControl w:val="0"/>
              <w:spacing w:after="120" w:line="276" w:lineRule="auto"/>
              <w:jc w:val="center"/>
              <w:rPr>
                <w:sz w:val="18"/>
                <w:szCs w:val="18"/>
              </w:rPr>
            </w:pPr>
            <w:r w:rsidDel="00000000" w:rsidR="00000000" w:rsidRPr="00000000">
              <w:rPr>
                <w:sz w:val="18"/>
                <w:szCs w:val="18"/>
                <w:rtl w:val="0"/>
              </w:rPr>
              <w:t xml:space="preserve">190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E">
            <w:pPr>
              <w:widowControl w:val="0"/>
              <w:spacing w:after="120" w:line="276" w:lineRule="auto"/>
              <w:rPr>
                <w:sz w:val="18"/>
                <w:szCs w:val="18"/>
              </w:rPr>
            </w:pPr>
            <w:r w:rsidDel="00000000" w:rsidR="00000000" w:rsidRPr="00000000">
              <w:rPr>
                <w:sz w:val="18"/>
                <w:szCs w:val="18"/>
                <w:rtl w:val="0"/>
              </w:rPr>
              <w:t xml:space="preserve">Serviço de  Coffee break: serviço de coffee break para 25 pessoas. Com sucos (dois tipos), café, leite quente e frio, chocolate quente, bolos, pão de queijo, torta, biscoitos salgados e doces (frescos, finos e variados);</w:t>
            </w:r>
          </w:p>
        </w:tc>
        <w:tc>
          <w:tcPr>
            <w:tcMar>
              <w:top w:w="100.0" w:type="dxa"/>
              <w:left w:w="100.0" w:type="dxa"/>
              <w:bottom w:w="100.0" w:type="dxa"/>
              <w:right w:w="100.0" w:type="dxa"/>
            </w:tcMar>
            <w:vAlign w:val="top"/>
          </w:tcPr>
          <w:p w:rsidR="00000000" w:rsidDel="00000000" w:rsidP="00000000" w:rsidRDefault="00000000" w:rsidRPr="00000000" w14:paraId="0000010F">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0">
            <w:pPr>
              <w:widowControl w:val="0"/>
              <w:spacing w:after="120" w:line="276" w:lineRule="auto"/>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widowControl w:val="0"/>
              <w:spacing w:after="120" w:line="276" w:lineRule="auto"/>
              <w:rPr>
                <w:color w:val="000000"/>
                <w:sz w:val="18"/>
                <w:szCs w:val="18"/>
              </w:rPr>
            </w:pPr>
            <w:r w:rsidDel="00000000" w:rsidR="00000000" w:rsidRPr="00000000">
              <w:rPr>
                <w:sz w:val="18"/>
                <w:szCs w:val="18"/>
                <w:rtl w:val="0"/>
              </w:rPr>
              <w:t xml:space="preserve">490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2">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3">
            <w:pPr>
              <w:widowControl w:val="0"/>
              <w:spacing w:after="120" w:line="276" w:lineRule="auto"/>
              <w:jc w:val="center"/>
              <w:rPr>
                <w:sz w:val="18"/>
                <w:szCs w:val="18"/>
              </w:rPr>
            </w:pPr>
            <w:r w:rsidDel="00000000" w:rsidR="00000000" w:rsidRPr="00000000">
              <w:rPr>
                <w:sz w:val="18"/>
                <w:szCs w:val="18"/>
                <w:rtl w:val="0"/>
              </w:rPr>
              <w:t xml:space="preserve">191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4">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115">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6">
            <w:pPr>
              <w:widowControl w:val="0"/>
              <w:spacing w:after="120" w:line="276" w:lineRule="auto"/>
              <w:rPr>
                <w:sz w:val="18"/>
                <w:szCs w:val="18"/>
              </w:rPr>
            </w:pPr>
            <w:r w:rsidDel="00000000" w:rsidR="00000000" w:rsidRPr="00000000">
              <w:rPr>
                <w:sz w:val="18"/>
                <w:szCs w:val="18"/>
                <w:rtl w:val="0"/>
              </w:rPr>
              <w:t xml:space="preserve">25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7">
            <w:pPr>
              <w:widowControl w:val="0"/>
              <w:spacing w:after="120" w:line="276" w:lineRule="auto"/>
              <w:rPr>
                <w:color w:val="000000"/>
                <w:sz w:val="18"/>
                <w:szCs w:val="18"/>
              </w:rPr>
            </w:pPr>
            <w:r w:rsidDel="00000000" w:rsidR="00000000" w:rsidRPr="00000000">
              <w:rPr>
                <w:sz w:val="18"/>
                <w:szCs w:val="18"/>
                <w:rtl w:val="0"/>
              </w:rPr>
              <w:t xml:space="preserve">890,00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8">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9">
            <w:pPr>
              <w:widowControl w:val="0"/>
              <w:spacing w:after="120" w:line="276" w:lineRule="auto"/>
              <w:jc w:val="center"/>
              <w:rPr>
                <w:sz w:val="18"/>
                <w:szCs w:val="18"/>
              </w:rPr>
            </w:pPr>
            <w:r w:rsidDel="00000000" w:rsidR="00000000" w:rsidRPr="00000000">
              <w:rPr>
                <w:sz w:val="18"/>
                <w:szCs w:val="18"/>
                <w:rtl w:val="0"/>
              </w:rPr>
              <w:t xml:space="preserve">192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A">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11B">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C">
            <w:pPr>
              <w:widowControl w:val="0"/>
              <w:spacing w:after="120" w:line="276" w:lineRule="auto"/>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widowControl w:val="0"/>
              <w:spacing w:after="120" w:line="276" w:lineRule="auto"/>
              <w:rPr>
                <w:color w:val="000000"/>
                <w:sz w:val="18"/>
                <w:szCs w:val="18"/>
              </w:rPr>
            </w:pPr>
            <w:r w:rsidDel="00000000" w:rsidR="00000000" w:rsidRPr="00000000">
              <w:rPr>
                <w:sz w:val="18"/>
                <w:szCs w:val="18"/>
                <w:rtl w:val="0"/>
              </w:rPr>
              <w:t xml:space="preserve">1.980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F">
            <w:pPr>
              <w:widowControl w:val="0"/>
              <w:spacing w:after="120" w:line="276" w:lineRule="auto"/>
              <w:jc w:val="center"/>
              <w:rPr>
                <w:sz w:val="18"/>
                <w:szCs w:val="18"/>
              </w:rPr>
            </w:pPr>
            <w:r w:rsidDel="00000000" w:rsidR="00000000" w:rsidRPr="00000000">
              <w:rPr>
                <w:sz w:val="18"/>
                <w:szCs w:val="18"/>
                <w:rtl w:val="0"/>
              </w:rPr>
              <w:t xml:space="preserve">193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0">
            <w:pPr>
              <w:widowControl w:val="0"/>
              <w:spacing w:after="120" w:line="276" w:lineRule="auto"/>
              <w:rPr>
                <w:sz w:val="18"/>
                <w:szCs w:val="18"/>
              </w:rPr>
            </w:pPr>
            <w:r w:rsidDel="00000000" w:rsidR="00000000" w:rsidRPr="00000000">
              <w:rPr>
                <w:sz w:val="18"/>
                <w:szCs w:val="18"/>
                <w:rtl w:val="0"/>
              </w:rPr>
              <w:t xml:space="preserve">Serviço de  Coffee break: serviço de coffee break para 200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121">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2">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3">
            <w:pPr>
              <w:widowControl w:val="0"/>
              <w:spacing w:after="120" w:line="276" w:lineRule="auto"/>
              <w:rPr>
                <w:color w:val="000000"/>
                <w:sz w:val="18"/>
                <w:szCs w:val="18"/>
              </w:rPr>
            </w:pPr>
            <w:r w:rsidDel="00000000" w:rsidR="00000000" w:rsidRPr="00000000">
              <w:rPr>
                <w:sz w:val="18"/>
                <w:szCs w:val="18"/>
                <w:rtl w:val="0"/>
              </w:rPr>
              <w:t xml:space="preserve">3.700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5">
            <w:pPr>
              <w:widowControl w:val="0"/>
              <w:spacing w:after="120" w:line="276" w:lineRule="auto"/>
              <w:jc w:val="center"/>
              <w:rPr>
                <w:sz w:val="18"/>
                <w:szCs w:val="18"/>
              </w:rPr>
            </w:pPr>
            <w:r w:rsidDel="00000000" w:rsidR="00000000" w:rsidRPr="00000000">
              <w:rPr>
                <w:sz w:val="18"/>
                <w:szCs w:val="18"/>
                <w:rtl w:val="0"/>
              </w:rPr>
              <w:t xml:space="preserve">194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6">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127">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8">
            <w:pPr>
              <w:widowControl w:val="0"/>
              <w:spacing w:after="120" w:line="276" w:lineRule="auto"/>
              <w:rPr>
                <w:sz w:val="18"/>
                <w:szCs w:val="18"/>
              </w:rPr>
            </w:pPr>
            <w:r w:rsidDel="00000000" w:rsidR="00000000" w:rsidRPr="00000000">
              <w:rPr>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widowControl w:val="0"/>
              <w:spacing w:after="120" w:line="276" w:lineRule="auto"/>
              <w:rPr>
                <w:color w:val="000000"/>
                <w:sz w:val="18"/>
                <w:szCs w:val="18"/>
              </w:rPr>
            </w:pPr>
            <w:r w:rsidDel="00000000" w:rsidR="00000000" w:rsidRPr="00000000">
              <w:rPr>
                <w:sz w:val="18"/>
                <w:szCs w:val="18"/>
                <w:rtl w:val="0"/>
              </w:rPr>
              <w:t xml:space="preserve">7.900,00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A">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B">
            <w:pPr>
              <w:widowControl w:val="0"/>
              <w:spacing w:after="120" w:line="276" w:lineRule="auto"/>
              <w:jc w:val="center"/>
              <w:rPr>
                <w:sz w:val="18"/>
                <w:szCs w:val="18"/>
              </w:rPr>
            </w:pPr>
            <w:r w:rsidDel="00000000" w:rsidR="00000000" w:rsidRPr="00000000">
              <w:rPr>
                <w:sz w:val="18"/>
                <w:szCs w:val="18"/>
                <w:rtl w:val="0"/>
              </w:rPr>
              <w:t xml:space="preserve">195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C">
            <w:pPr>
              <w:widowControl w:val="0"/>
              <w:spacing w:after="120" w:line="276" w:lineRule="auto"/>
              <w:rPr>
                <w:sz w:val="18"/>
                <w:szCs w:val="18"/>
              </w:rPr>
            </w:pPr>
            <w:r w:rsidDel="00000000" w:rsidR="00000000" w:rsidRPr="00000000">
              <w:rPr>
                <w:sz w:val="18"/>
                <w:szCs w:val="18"/>
                <w:rtl w:val="0"/>
              </w:rPr>
              <w:t xml:space="preserve">Coquetel: serviço de fornecimento de coquetel para 50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12D">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E">
            <w:pPr>
              <w:widowControl w:val="0"/>
              <w:spacing w:after="120" w:line="276" w:lineRule="auto"/>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widowControl w:val="0"/>
              <w:spacing w:after="120" w:line="276" w:lineRule="auto"/>
              <w:rPr>
                <w:color w:val="000000"/>
                <w:sz w:val="18"/>
                <w:szCs w:val="18"/>
              </w:rPr>
            </w:pPr>
            <w:r w:rsidDel="00000000" w:rsidR="00000000" w:rsidRPr="00000000">
              <w:rPr>
                <w:sz w:val="18"/>
                <w:szCs w:val="18"/>
                <w:rtl w:val="0"/>
              </w:rPr>
              <w:t xml:space="preserve">R$7.700,00</w:t>
            </w:r>
            <w:r w:rsidDel="00000000" w:rsidR="00000000" w:rsidRPr="00000000">
              <w:rPr>
                <w:rtl w:val="0"/>
              </w:rPr>
            </w:r>
          </w:p>
        </w:tc>
      </w:tr>
      <w:tr>
        <w:trPr>
          <w:trHeight w:val="345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0">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1">
            <w:pPr>
              <w:widowControl w:val="0"/>
              <w:spacing w:after="120" w:line="276" w:lineRule="auto"/>
              <w:jc w:val="center"/>
              <w:rPr>
                <w:sz w:val="18"/>
                <w:szCs w:val="18"/>
              </w:rPr>
            </w:pPr>
            <w:r w:rsidDel="00000000" w:rsidR="00000000" w:rsidRPr="00000000">
              <w:rPr>
                <w:sz w:val="18"/>
                <w:szCs w:val="18"/>
                <w:rtl w:val="0"/>
              </w:rPr>
              <w:t xml:space="preserve">196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2">
            <w:pPr>
              <w:widowControl w:val="0"/>
              <w:spacing w:after="120" w:line="276" w:lineRule="auto"/>
              <w:rPr>
                <w:sz w:val="18"/>
                <w:szCs w:val="18"/>
              </w:rPr>
            </w:pPr>
            <w:r w:rsidDel="00000000" w:rsidR="00000000" w:rsidRPr="00000000">
              <w:rPr>
                <w:sz w:val="18"/>
                <w:szCs w:val="18"/>
                <w:rtl w:val="0"/>
              </w:rPr>
              <w:t xml:space="preserve">Coquetel: serviço de fornecimento de coquetel para 100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133">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4">
            <w:pPr>
              <w:widowControl w:val="0"/>
              <w:spacing w:after="120" w:line="276" w:lineRule="auto"/>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5">
            <w:pPr>
              <w:widowControl w:val="0"/>
              <w:spacing w:after="120" w:line="276" w:lineRule="auto"/>
              <w:rPr>
                <w:color w:val="000000"/>
                <w:sz w:val="18"/>
                <w:szCs w:val="18"/>
              </w:rPr>
            </w:pPr>
            <w:r w:rsidDel="00000000" w:rsidR="00000000" w:rsidRPr="00000000">
              <w:rPr>
                <w:sz w:val="18"/>
                <w:szCs w:val="18"/>
                <w:rtl w:val="0"/>
              </w:rPr>
              <w:t xml:space="preserve">R$ 5.400,00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7">
            <w:pPr>
              <w:widowControl w:val="0"/>
              <w:spacing w:after="120" w:line="276" w:lineRule="auto"/>
              <w:jc w:val="center"/>
              <w:rPr>
                <w:sz w:val="18"/>
                <w:szCs w:val="18"/>
              </w:rPr>
            </w:pPr>
            <w:r w:rsidDel="00000000" w:rsidR="00000000" w:rsidRPr="00000000">
              <w:rPr>
                <w:sz w:val="18"/>
                <w:szCs w:val="18"/>
                <w:rtl w:val="0"/>
              </w:rPr>
              <w:t xml:space="preserve">197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8">
            <w:pPr>
              <w:widowControl w:val="0"/>
              <w:spacing w:after="120" w:line="276" w:lineRule="auto"/>
              <w:rPr>
                <w:sz w:val="18"/>
                <w:szCs w:val="18"/>
              </w:rPr>
            </w:pPr>
            <w:r w:rsidDel="00000000" w:rsidR="00000000" w:rsidRPr="00000000">
              <w:rPr>
                <w:sz w:val="18"/>
                <w:szCs w:val="18"/>
                <w:rtl w:val="0"/>
              </w:rPr>
              <w:t xml:space="preserve">Coquetel: serviço de fornecimento de coquetel para 200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Mar>
              <w:top w:w="100.0" w:type="dxa"/>
              <w:left w:w="100.0" w:type="dxa"/>
              <w:bottom w:w="100.0" w:type="dxa"/>
              <w:right w:w="100.0" w:type="dxa"/>
            </w:tcMar>
            <w:vAlign w:val="top"/>
          </w:tcPr>
          <w:p w:rsidR="00000000" w:rsidDel="00000000" w:rsidP="00000000" w:rsidRDefault="00000000" w:rsidRPr="00000000" w14:paraId="00000139">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A">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B">
            <w:pPr>
              <w:widowControl w:val="0"/>
              <w:spacing w:after="120" w:line="276" w:lineRule="auto"/>
              <w:rPr>
                <w:color w:val="000000"/>
                <w:sz w:val="18"/>
                <w:szCs w:val="18"/>
              </w:rPr>
            </w:pPr>
            <w:r w:rsidDel="00000000" w:rsidR="00000000" w:rsidRPr="00000000">
              <w:rPr>
                <w:sz w:val="18"/>
                <w:szCs w:val="18"/>
                <w:rtl w:val="0"/>
              </w:rPr>
              <w:t xml:space="preserve">R$7.900,00</w:t>
            </w:r>
            <w:r w:rsidDel="00000000" w:rsidR="00000000" w:rsidRPr="00000000">
              <w:rPr>
                <w:rtl w:val="0"/>
              </w:rPr>
            </w:r>
          </w:p>
        </w:tc>
      </w:tr>
      <w:tr>
        <w:trPr>
          <w:trHeight w:val="18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C">
            <w:pPr>
              <w:widowControl w:val="0"/>
              <w:spacing w:after="120" w:line="276" w:lineRule="auto"/>
              <w:jc w:val="right"/>
              <w:rPr>
                <w:sz w:val="18"/>
                <w:szCs w:val="18"/>
              </w:rPr>
            </w:pPr>
            <w:r w:rsidDel="00000000" w:rsidR="00000000" w:rsidRPr="00000000">
              <w:rPr>
                <w:sz w:val="18"/>
                <w:szCs w:val="18"/>
                <w:rtl w:val="0"/>
              </w:rPr>
              <w:t xml:space="preserve">Total: R$828.905,0000</w:t>
            </w:r>
          </w:p>
        </w:tc>
      </w:tr>
    </w:tbl>
    <w:p w:rsidR="00000000" w:rsidDel="00000000" w:rsidP="00000000" w:rsidRDefault="00000000" w:rsidRPr="00000000" w14:paraId="00000142">
      <w:pPr>
        <w:widowControl w:val="0"/>
        <w:tabs>
          <w:tab w:val="left" w:pos="2850"/>
        </w:tabs>
        <w:ind w:left="792" w:firstLine="0"/>
        <w:jc w:val="both"/>
        <w:rPr>
          <w:sz w:val="22"/>
          <w:szCs w:val="22"/>
        </w:rPr>
      </w:pPr>
      <w:r w:rsidDel="00000000" w:rsidR="00000000" w:rsidRPr="00000000">
        <w:rPr>
          <w:rtl w:val="0"/>
        </w:rPr>
      </w:r>
    </w:p>
    <w:p w:rsidR="00000000" w:rsidDel="00000000" w:rsidP="00000000" w:rsidRDefault="00000000" w:rsidRPr="00000000" w14:paraId="00000143">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144">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145">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146">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p w:rsidR="00000000" w:rsidDel="00000000" w:rsidP="00000000" w:rsidRDefault="00000000" w:rsidRPr="00000000" w14:paraId="00000147">
      <w:pPr>
        <w:widowControl w:val="0"/>
        <w:tabs>
          <w:tab w:val="left" w:pos="2093"/>
        </w:tabs>
        <w:spacing w:before="240" w:lineRule="auto"/>
        <w:ind w:left="792" w:right="-30" w:firstLine="0"/>
        <w:jc w:val="both"/>
        <w:rPr>
          <w:i w:val="1"/>
        </w:rPr>
      </w:pPr>
      <w:r w:rsidDel="00000000" w:rsidR="00000000" w:rsidRPr="00000000">
        <w:rPr>
          <w:rtl w:val="0"/>
        </w:rPr>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148">
            <w:pPr>
              <w:widowControl w:val="0"/>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149">
            <w:pPr>
              <w:widowControl w:val="0"/>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14A">
            <w:pPr>
              <w:widowControl w:val="0"/>
              <w:ind w:right="-30"/>
              <w:jc w:val="center"/>
              <w:rPr>
                <w:i w:val="1"/>
              </w:rPr>
            </w:pPr>
            <w:r w:rsidDel="00000000" w:rsidR="00000000" w:rsidRPr="00000000">
              <w:rPr>
                <w:i w:val="1"/>
                <w:rtl w:val="0"/>
              </w:rPr>
              <w:t xml:space="preserve">Grupos 3 e 5</w:t>
            </w:r>
          </w:p>
        </w:tc>
        <w:tc>
          <w:tcPr/>
          <w:p w:rsidR="00000000" w:rsidDel="00000000" w:rsidP="00000000" w:rsidRDefault="00000000" w:rsidRPr="00000000" w14:paraId="0000014B">
            <w:pPr>
              <w:widowControl w:val="0"/>
              <w:ind w:right="-30"/>
              <w:jc w:val="center"/>
              <w:rPr>
                <w:i w:val="1"/>
              </w:rPr>
            </w:pPr>
            <w:r w:rsidDel="00000000" w:rsidR="00000000" w:rsidRPr="00000000">
              <w:rPr>
                <w:i w:val="1"/>
                <w:rtl w:val="0"/>
              </w:rPr>
              <w:t xml:space="preserve">IF Sudeste MG - Campus Juiz de Fora e Reitoria</w:t>
            </w:r>
          </w:p>
        </w:tc>
      </w:tr>
      <w:tr>
        <w:tc>
          <w:tcPr/>
          <w:p w:rsidR="00000000" w:rsidDel="00000000" w:rsidP="00000000" w:rsidRDefault="00000000" w:rsidRPr="00000000" w14:paraId="0000014C">
            <w:pPr>
              <w:widowControl w:val="0"/>
              <w:ind w:right="-30"/>
              <w:jc w:val="center"/>
              <w:rPr>
                <w:i w:val="1"/>
              </w:rPr>
            </w:pPr>
            <w:r w:rsidDel="00000000" w:rsidR="00000000" w:rsidRPr="00000000">
              <w:rPr>
                <w:i w:val="1"/>
                <w:rtl w:val="0"/>
              </w:rPr>
              <w:t xml:space="preserve">Grupos 30 e 31</w:t>
            </w:r>
          </w:p>
        </w:tc>
        <w:tc>
          <w:tcPr/>
          <w:p w:rsidR="00000000" w:rsidDel="00000000" w:rsidP="00000000" w:rsidRDefault="00000000" w:rsidRPr="00000000" w14:paraId="0000014D">
            <w:pPr>
              <w:widowControl w:val="0"/>
              <w:ind w:right="-30"/>
              <w:jc w:val="center"/>
              <w:rPr>
                <w:i w:val="1"/>
              </w:rPr>
            </w:pPr>
            <w:r w:rsidDel="00000000" w:rsidR="00000000" w:rsidRPr="00000000">
              <w:rPr>
                <w:i w:val="1"/>
                <w:rtl w:val="0"/>
              </w:rPr>
              <w:t xml:space="preserve">IF Sudeste MG - Campus Santos Dumont</w:t>
            </w:r>
          </w:p>
        </w:tc>
      </w:tr>
      <w:tr>
        <w:tc>
          <w:tcPr/>
          <w:p w:rsidR="00000000" w:rsidDel="00000000" w:rsidP="00000000" w:rsidRDefault="00000000" w:rsidRPr="00000000" w14:paraId="0000014E">
            <w:pPr>
              <w:widowControl w:val="0"/>
              <w:ind w:right="-30"/>
              <w:jc w:val="center"/>
              <w:rPr>
                <w:i w:val="1"/>
              </w:rPr>
            </w:pPr>
            <w:r w:rsidDel="00000000" w:rsidR="00000000" w:rsidRPr="00000000">
              <w:rPr>
                <w:rtl w:val="0"/>
              </w:rPr>
            </w:r>
          </w:p>
        </w:tc>
        <w:tc>
          <w:tcPr/>
          <w:p w:rsidR="00000000" w:rsidDel="00000000" w:rsidP="00000000" w:rsidRDefault="00000000" w:rsidRPr="00000000" w14:paraId="0000014F">
            <w:pPr>
              <w:widowControl w:val="0"/>
              <w:ind w:right="-30"/>
              <w:jc w:val="center"/>
              <w:rPr>
                <w:i w:val="1"/>
              </w:rPr>
            </w:pPr>
            <w:r w:rsidDel="00000000" w:rsidR="00000000" w:rsidRPr="00000000">
              <w:rPr>
                <w:rtl w:val="0"/>
              </w:rPr>
            </w:r>
          </w:p>
        </w:tc>
      </w:tr>
    </w:tbl>
    <w:p w:rsidR="00000000" w:rsidDel="00000000" w:rsidP="00000000" w:rsidRDefault="00000000" w:rsidRPr="00000000" w14:paraId="00000150">
      <w:pPr>
        <w:widowControl w:val="0"/>
        <w:ind w:right="-30"/>
        <w:jc w:val="both"/>
        <w:rPr>
          <w:i w:val="1"/>
          <w:color w:val="ff0000"/>
        </w:rPr>
      </w:pPr>
      <w:r w:rsidDel="00000000" w:rsidR="00000000" w:rsidRPr="00000000">
        <w:rPr>
          <w:rtl w:val="0"/>
        </w:rPr>
      </w:r>
    </w:p>
    <w:p w:rsidR="00000000" w:rsidDel="00000000" w:rsidP="00000000" w:rsidRDefault="00000000" w:rsidRPr="00000000" w14:paraId="00000151">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152">
      <w:pPr>
        <w:numPr>
          <w:ilvl w:val="1"/>
          <w:numId w:val="1"/>
        </w:numPr>
        <w:spacing w:after="120" w:before="120" w:line="276" w:lineRule="auto"/>
        <w:ind w:left="792" w:hanging="432"/>
        <w:jc w:val="both"/>
        <w:rPr>
          <w:i w:val="1"/>
        </w:rPr>
      </w:pPr>
      <w:r w:rsidDel="00000000" w:rsidR="00000000" w:rsidRPr="00000000">
        <w:rPr>
          <w:i w:val="1"/>
          <w:rtl w:val="0"/>
        </w:rPr>
        <w:t xml:space="preserve">A</w:t>
      </w:r>
      <w:r w:rsidDel="00000000" w:rsidR="00000000" w:rsidRPr="00000000">
        <w:rPr>
          <w:rtl w:val="0"/>
        </w:rPr>
        <w:t xml:space="preserve"> </w:t>
      </w:r>
      <w:r w:rsidDel="00000000" w:rsidR="00000000" w:rsidRPr="00000000">
        <w:rPr>
          <w:rtl w:val="0"/>
        </w:rPr>
        <w:t xml:space="preserve">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153">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154">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155">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50 por cento dos quantitativos dos itens do instrumento convocatório e registrados na ata de registro de preços para o órgão gerenciador e órgãos participantes.</w:t>
      </w:r>
    </w:p>
    <w:p w:rsidR="00000000" w:rsidDel="00000000" w:rsidP="00000000" w:rsidRDefault="00000000" w:rsidRPr="00000000" w14:paraId="00000156">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157">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158">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159">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15A">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15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15C">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15D">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15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15F">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160">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161">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162">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163">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164">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165">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166">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167">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168">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169">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16A">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16B">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16C">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16D">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16E">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16F">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170">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171">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172">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173">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174">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17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176">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177">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178">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179">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17A">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17B">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17C">
      <w:pPr>
        <w:widowControl w:val="0"/>
        <w:spacing w:before="240" w:lineRule="auto"/>
        <w:ind w:right="-15"/>
        <w:jc w:val="both"/>
        <w:rPr/>
      </w:pPr>
      <w:r w:rsidDel="00000000" w:rsidR="00000000" w:rsidRPr="00000000">
        <w:rPr>
          <w:rtl w:val="0"/>
        </w:rPr>
      </w:r>
    </w:p>
    <w:p w:rsidR="00000000" w:rsidDel="00000000" w:rsidP="00000000" w:rsidRDefault="00000000" w:rsidRPr="00000000" w14:paraId="0000017D">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17E">
      <w:pPr>
        <w:widowControl w:val="0"/>
        <w:ind w:right="-15"/>
        <w:jc w:val="both"/>
        <w:rPr/>
      </w:pPr>
      <w:r w:rsidDel="00000000" w:rsidR="00000000" w:rsidRPr="00000000">
        <w:rPr>
          <w:rtl w:val="0"/>
        </w:rPr>
      </w:r>
    </w:p>
    <w:p w:rsidR="00000000" w:rsidDel="00000000" w:rsidP="00000000" w:rsidRDefault="00000000" w:rsidRPr="00000000" w14:paraId="0000017F">
      <w:pPr>
        <w:widowControl w:val="0"/>
        <w:ind w:right="-15"/>
        <w:jc w:val="both"/>
        <w:rPr/>
      </w:pPr>
      <w:r w:rsidDel="00000000" w:rsidR="00000000" w:rsidRPr="00000000">
        <w:rPr>
          <w:rtl w:val="0"/>
        </w:rPr>
      </w:r>
    </w:p>
    <w:p w:rsidR="00000000" w:rsidDel="00000000" w:rsidP="00000000" w:rsidRDefault="00000000" w:rsidRPr="00000000" w14:paraId="00000180">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181">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82">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83">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84">
      <w:pPr>
        <w:widowControl w:val="0"/>
        <w:ind w:right="-15"/>
        <w:jc w:val="both"/>
        <w:rPr>
          <w:i w:val="1"/>
          <w:color w:val="ff0000"/>
        </w:rPr>
      </w:pPr>
      <w:r w:rsidDel="00000000" w:rsidR="00000000" w:rsidRPr="00000000">
        <w:rPr>
          <w:rtl w:val="0"/>
        </w:rPr>
      </w:r>
    </w:p>
    <w:p w:rsidR="00000000" w:rsidDel="00000000" w:rsidP="00000000" w:rsidRDefault="00000000" w:rsidRPr="00000000" w14:paraId="00000185">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186">
      <w:pPr>
        <w:widowControl w:val="0"/>
        <w:ind w:right="-30"/>
        <w:rPr/>
      </w:pPr>
      <w:r w:rsidDel="00000000" w:rsidR="00000000" w:rsidRPr="00000000">
        <w:rPr>
          <w:rtl w:val="0"/>
        </w:rPr>
      </w:r>
    </w:p>
    <w:p w:rsidR="00000000" w:rsidDel="00000000" w:rsidP="00000000" w:rsidRDefault="00000000" w:rsidRPr="00000000" w14:paraId="00000187">
      <w:pPr>
        <w:widowControl w:val="0"/>
        <w:ind w:right="-30"/>
        <w:rPr>
          <w:i w:val="1"/>
        </w:rPr>
      </w:pPr>
      <w:r w:rsidDel="00000000" w:rsidR="00000000" w:rsidRPr="00000000">
        <w:rPr>
          <w:rtl w:val="0"/>
        </w:rPr>
        <w:t xml:space="preserve">         Sebastião Sérgio de Oliveira                                              </w:t>
      </w:r>
      <w:r w:rsidDel="00000000" w:rsidR="00000000" w:rsidRPr="00000000">
        <w:rPr>
          <w:sz w:val="18"/>
          <w:szCs w:val="18"/>
          <w:rtl w:val="0"/>
        </w:rPr>
        <w:t xml:space="preserve"> Jussara dos Santos Oliveira</w:t>
      </w:r>
      <w:r w:rsidDel="00000000" w:rsidR="00000000" w:rsidRPr="00000000">
        <w:rPr>
          <w:rtl w:val="0"/>
        </w:rPr>
        <w:t xml:space="preserve">                  Diretor Geral – Ordenador de Despesas                                       CPF: </w:t>
      </w:r>
      <w:r w:rsidDel="00000000" w:rsidR="00000000" w:rsidRPr="00000000">
        <w:rPr>
          <w:sz w:val="18"/>
          <w:szCs w:val="18"/>
          <w:rtl w:val="0"/>
        </w:rPr>
        <w:t xml:space="preserve">209.396.206-34</w:t>
      </w: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9">
    <w:pPr>
      <w:tabs>
        <w:tab w:val="center" w:pos="4252"/>
        <w:tab w:val="right" w:pos="8504"/>
      </w:tabs>
      <w:jc w:val="center"/>
      <w:rPr/>
    </w:pPr>
    <w:r w:rsidDel="00000000" w:rsidR="00000000" w:rsidRPr="00000000">
      <w:rPr/>
      <w:drawing>
        <wp:inline distB="0" distT="0" distL="0" distR="0">
          <wp:extent cx="995608" cy="995608"/>
          <wp:effectExtent b="0" l="0" r="0" t="0"/>
          <wp:docPr descr="brasão" id="6"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18A">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18B">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18C">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18D">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color w:val="000000"/>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uM8sFyYQAH8jbMeYWrxz/a3TeQ==">AMUW2mXH8C7HvmSy1SvtSZ4RL1r1X2gI3nA1t8G8HxZkxi3PYtycDC92E/+acgPlt/M0Q+iwTwzZsfexczVdRg5PssGCJMr4mLo5oMX0vXXU0eQ0C6t3iNk=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